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McCarthy Kathryn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TERRESTRIAL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2730 W. TYVOLA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Terrestrial Energy Inc. /DE/</w:t>
              </w:r>
            </w:hyperlink>
            <w:r>
              <w:rPr/>
              <w:t xml:space="preserve"> [ </w:t>
            </w:r>
            <w:r>
              <w:rPr>
                <w:rFonts w:ascii="Times;serif" w:hAnsi="Times;serif"/>
                <w:color w:val="0000FF"/>
                <w:sz w:val="24"/>
                <w:shd w:fill="FFFFFF" w:val="clear"/>
              </w:rPr>
              <w:t>IMSR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acquire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restricted stock units granted pursuant to the Terrestrial Energy Inc. 2025 Equity Incentive Plan. The restricted stock units vest in full on December 31, 2026, subject to the reporting person's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Thrasher,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932" TargetMode="External"/><Relationship Id="rId5" Type="http://schemas.openxmlformats.org/officeDocument/2006/relationships/hyperlink" Target="http://www.sec.gov/cgi-bin/browse-edgar?action=getcompany&amp;CIK=00020198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3417</Characters>
  <CharactersWithSpaces>3973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