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tmb-20260630x10q.htm"/>
        <w:bookmarkStart w:id="1" w:name="kstmb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99dbe1f8_c196_4780_9abe_828217edf90a"/>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23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00"/>
        <w:ind w:left="0" w:right="0" w:hanging="0"/>
        <w:jc w:val="left"/>
        <w:rPr/>
      </w:pPr>
      <w:r>
        <w:rPr>
          <w:caps w:val="false"/>
          <w:smallCaps w:val="false"/>
        </w:rPr>
        <w:t>☐</w:t>
      </w:r>
      <w:r>
        <w:rPr>
          <w:rFonts w:ascii="Times New Roman;Times;serif" w:hAnsi="Times New Roman;Times;serif"/>
          <w:b/>
          <w:sz w:val="20"/>
        </w:rPr>
        <w:t>TRANSITION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001-42252</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TERRESTRIAL ENERGY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zDebcmHZE0iiHHUJiM9mbw_2_1"/>
      <w:bookmarkStart w:id="4" w:name="Tc_0lQ1l2Un7kCljzcEao2m0Q_2_0"/>
      <w:bookmarkStart w:id="5" w:name="_67166535_ba3f_4376_8c57_88ece11b9621"/>
      <w:bookmarkStart w:id="6" w:name="Tc_zDebcmHZE0iiHHUJiM9mbw_2_1"/>
      <w:bookmarkStart w:id="7" w:name="Tc_0lQ1l2Un7kCljzcEao2m0Q_2_0"/>
      <w:bookmarkStart w:id="8" w:name="_67166535_ba3f_4376_8c57_88ece11b9621"/>
      <w:bookmarkEnd w:id="6"/>
      <w:bookmarkEnd w:id="7"/>
      <w:bookmarkEnd w:id="8"/>
    </w:p>
    <w:tbl>
      <w:tblPr>
        <w:tblW w:w="3047" w:type="dxa"/>
        <w:jc w:val="left"/>
        <w:tblInd w:w="0" w:type="dxa"/>
        <w:tblLayout w:type="fixed"/>
        <w:tblCellMar>
          <w:top w:w="0" w:type="dxa"/>
          <w:left w:w="0" w:type="dxa"/>
          <w:bottom w:w="0" w:type="dxa"/>
          <w:right w:w="0" w:type="dxa"/>
        </w:tblCellMar>
      </w:tblPr>
      <w:tblGrid>
        <w:gridCol w:w="1696"/>
        <w:gridCol w:w="1351"/>
      </w:tblGrid>
      <w:tr>
        <w:trPr/>
        <w:tc>
          <w:tcPr>
            <w:tcW w:w="169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98-1785406</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2730 W. Tyvola Road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Charlotte, NC</w:t>
      </w:r>
      <w:r>
        <w:rPr>
          <w:rFonts w:ascii="Times New Roman;Times;serif" w:hAnsi="Times New Roman;Times;serif"/>
          <w:sz w:val="20"/>
        </w:rPr>
        <w:t xml:space="preserve"> </w:t>
      </w:r>
      <w:r>
        <w:rPr>
          <w:rFonts w:ascii="Times New Roman;Times;serif" w:hAnsi="Times New Roman;Times;serif"/>
          <w:b/>
          <w:sz w:val="16"/>
        </w:rPr>
        <w:t>28217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(646) 687-8212</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e68PP1-xHUm07EZP9tOaPw_0_2"/>
      <w:bookmarkStart w:id="10" w:name="Tc_DmyP-lMnNUqswuPJBUR0ZQ_0_1"/>
      <w:bookmarkStart w:id="11" w:name="Tc_cInh5rTHLk2KW9OMDOXHvg_0_0"/>
      <w:bookmarkStart w:id="12" w:name="_9d8eec7a_9e36_49ef_b80e_1f8075a0d1fc"/>
      <w:bookmarkStart w:id="13" w:name="Tc_e68PP1-xHUm07EZP9tOaPw_0_2"/>
      <w:bookmarkStart w:id="14" w:name="Tc_DmyP-lMnNUqswuPJBUR0ZQ_0_1"/>
      <w:bookmarkStart w:id="15" w:name="Tc_cInh5rTHLk2KW9OMDOXHvg_0_0"/>
      <w:bookmarkStart w:id="16" w:name="_9d8eec7a_9e36_49ef_b80e_1f8075a0d1fc"/>
      <w:bookmarkEnd w:id="13"/>
      <w:bookmarkEnd w:id="14"/>
      <w:bookmarkEnd w:id="15"/>
      <w:bookmarkEnd w:id="16"/>
    </w:p>
    <w:tbl>
      <w:tblPr>
        <w:tblW w:w="10205" w:type="dxa"/>
        <w:jc w:val="left"/>
        <w:tblInd w:w="0" w:type="dxa"/>
        <w:tblLayout w:type="fixed"/>
        <w:tblCellMar>
          <w:top w:w="0" w:type="dxa"/>
          <w:left w:w="0" w:type="dxa"/>
          <w:bottom w:w="0" w:type="dxa"/>
          <w:right w:w="0" w:type="dxa"/>
        </w:tblCellMar>
      </w:tblPr>
      <w:tblGrid>
        <w:gridCol w:w="6456"/>
        <w:gridCol w:w="1147"/>
        <w:gridCol w:w="2602"/>
      </w:tblGrid>
      <w:tr>
        <w:trPr/>
        <w:tc>
          <w:tcPr>
            <w:tcW w:w="6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26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Stock at a price of $11.50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EZRhsqn8a0i6iQk2rt2SJA_2_4"/>
      <w:bookmarkStart w:id="18" w:name="Tc_CXXh8JYXzkqbm0TLEbEoUA_2_2"/>
      <w:bookmarkStart w:id="19" w:name="Tc_420V5GX480e9fV6xWb70oA_2_1"/>
      <w:bookmarkStart w:id="20" w:name="Tc_pEuDzIVizESkoyi8GKqWcQ_0_3"/>
      <w:bookmarkStart w:id="21" w:name="Tc_0QsfocoTxEO9pPRiOshbag_0_2"/>
      <w:bookmarkStart w:id="22" w:name="Tc_TLp2Mh6bGU-3MvlP3TbYkA_0_1"/>
      <w:bookmarkStart w:id="23" w:name="Tc_c8Dg9cHKHUq4fssytzdvaQ_0_0"/>
      <w:bookmarkStart w:id="24" w:name="_ab4d34ba_4913_4db8_bb7d_d99db5a4edc7"/>
      <w:bookmarkStart w:id="25" w:name="Tc_EZRhsqn8a0i6iQk2rt2SJA_2_4"/>
      <w:bookmarkStart w:id="26" w:name="Tc_CXXh8JYXzkqbm0TLEbEoUA_2_2"/>
      <w:bookmarkStart w:id="27" w:name="Tc_420V5GX480e9fV6xWb70oA_2_1"/>
      <w:bookmarkStart w:id="28" w:name="Tc_pEuDzIVizESkoyi8GKqWcQ_0_3"/>
      <w:bookmarkStart w:id="29" w:name="Tc_0QsfocoTxEO9pPRiOshbag_0_2"/>
      <w:bookmarkStart w:id="30" w:name="Tc_TLp2Mh6bGU-3MvlP3TbYkA_0_1"/>
      <w:bookmarkStart w:id="31" w:name="Tc_c8Dg9cHKHUq4fssytzdvaQ_0_0"/>
      <w:bookmarkStart w:id="32" w:name="_ab4d34ba_4913_4db8_bb7d_d99db5a4edc7"/>
      <w:bookmarkEnd w:id="25"/>
      <w:bookmarkEnd w:id="26"/>
      <w:bookmarkEnd w:id="27"/>
      <w:bookmarkEnd w:id="28"/>
      <w:bookmarkEnd w:id="29"/>
      <w:bookmarkEnd w:id="30"/>
      <w:bookmarkEnd w:id="31"/>
      <w:bookmarkEnd w:id="32"/>
    </w:p>
    <w:tbl>
      <w:tblPr>
        <w:tblW w:w="6726" w:type="dxa"/>
        <w:jc w:val="left"/>
        <w:tblInd w:w="0" w:type="dxa"/>
        <w:tblLayout w:type="fixed"/>
        <w:tblCellMar>
          <w:top w:w="0" w:type="dxa"/>
          <w:left w:w="0" w:type="dxa"/>
          <w:bottom w:w="0" w:type="dxa"/>
          <w:right w:w="0" w:type="dxa"/>
        </w:tblCellMar>
      </w:tblPr>
      <w:tblGrid>
        <w:gridCol w:w="1666"/>
        <w:gridCol w:w="316"/>
        <w:gridCol w:w="2026"/>
        <w:gridCol w:w="316"/>
        <w:gridCol w:w="2041"/>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11, 2026, there were 105,935,254 of the registrant’s ordinary shares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33" w:name="TOC"/>
      <w:bookmarkStart w:id="34" w:name="_bfe9472b_474d_4ffc_826a_3a01c18aa550"/>
      <w:bookmarkEnd w:id="33"/>
      <w:bookmarkEnd w:id="34"/>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1151"/>
        <w:gridCol w:w="8482"/>
        <w:gridCol w:w="572"/>
      </w:tblGrid>
      <w:tr>
        <w:trPr/>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30885" cy="175260"/>
                      <wp:effectExtent l="0" t="0" r="0" b="0"/>
                      <wp:wrapNone/>
                      <wp:docPr id="1" name="Frame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386070" cy="175260"/>
                      <wp:effectExtent l="0" t="0" r="0" b="0"/>
                      <wp:wrapNone/>
                      <wp:docPr id="2" name="Frame2"/>
                      <a:graphic xmlns:a="http://schemas.openxmlformats.org/drawingml/2006/main">
                        <a:graphicData uri="http://schemas.microsoft.com/office/word/2010/wordprocessingShape">
                          <wps:wsp>
                            <wps:cNvSpPr txBox="1"/>
                            <wps:spPr>
                              <a:xfrm>
                                <a:off x="0" y="0"/>
                                <a:ext cx="538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3220" cy="175260"/>
                      <wp:effectExtent l="0" t="0" r="0" b="0"/>
                      <wp:wrapNone/>
                      <wp:docPr id="3" name="Frame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Part I</w:t>
              </w:r>
            </w:hyperlink>
          </w:p>
        </w:tc>
        <w:tc>
          <w:tcPr>
            <w:tcW w:w="8482"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Financial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Item 1.</w:t>
              </w:r>
            </w:hyperlink>
          </w:p>
        </w:tc>
        <w:tc>
          <w:tcPr>
            <w:tcW w:w="8482"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BalanceSheets_37183">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Stockholders’ Equity (Deficit)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Notes_Start">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48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48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Item 4.</w:t>
              </w:r>
            </w:hyperlink>
          </w:p>
        </w:tc>
        <w:tc>
          <w:tcPr>
            <w:tcW w:w="8482"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Part II</w:t>
              </w:r>
            </w:hyperlink>
          </w:p>
        </w:tc>
        <w:tc>
          <w:tcPr>
            <w:tcW w:w="8482"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Item 1.</w:t>
              </w:r>
            </w:hyperlink>
          </w:p>
        </w:tc>
        <w:tc>
          <w:tcPr>
            <w:tcW w:w="8482"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Item 1A.</w:t>
              </w:r>
            </w:hyperlink>
          </w:p>
        </w:tc>
        <w:tc>
          <w:tcPr>
            <w:tcW w:w="8482"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48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Item 3.</w:t>
              </w:r>
            </w:hyperlink>
          </w:p>
        </w:tc>
        <w:tc>
          <w:tcPr>
            <w:tcW w:w="8482"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Item 4.</w:t>
              </w:r>
            </w:hyperlink>
          </w:p>
        </w:tc>
        <w:tc>
          <w:tcPr>
            <w:tcW w:w="8482"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Item 5.</w:t>
              </w:r>
            </w:hyperlink>
          </w:p>
        </w:tc>
        <w:tc>
          <w:tcPr>
            <w:tcW w:w="8482"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Item 6.</w:t>
              </w:r>
            </w:hyperlink>
          </w:p>
        </w:tc>
        <w:tc>
          <w:tcPr>
            <w:tcW w:w="8482"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EXHIBITINDEX_843050">
              <w:r>
                <w:rPr>
                  <w:rStyle w:val="InternetLink"/>
                  <w:rFonts w:ascii="Times New Roman;Times;serif" w:hAnsi="Times New Roman;Times;serif"/>
                  <w:b w:val="false"/>
                  <w:i w:val="false"/>
                  <w:caps w:val="false"/>
                  <w:smallCaps w:val="false"/>
                  <w:sz w:val="20"/>
                </w:rPr>
                <w:t>Exhibit Index</w:t>
              </w:r>
            </w:hyperlink>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SIGNATURES_883092">
              <w:r>
                <w:rPr>
                  <w:rStyle w:val="InternetLink"/>
                  <w:rFonts w:ascii="Times New Roman;Times;serif" w:hAnsi="Times New Roman;Times;serif"/>
                  <w:b w:val="false"/>
                  <w:i w:val="false"/>
                  <w:caps w:val="false"/>
                  <w:smallCaps w:val="false"/>
                  <w:sz w:val="20"/>
                </w:rPr>
                <w:t>Signatures</w:t>
              </w:r>
            </w:hyperlink>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 w:name="_12463a00_3702_4795_af6a_82ce67c54366"/>
      <w:bookmarkEnd w:id="35"/>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(this “Quarterly Report”) of Terrestrial Energy Inc. (“Terrestrial Energy,” the “Company,” “we,” “our,” and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w:t>
        <w:br/>
        <w:br/>
        <w:t>The discussion in this Quarterly Report should be read in conjunction with the condensed consolidated financial statements and notes thereto included in Item 1 of this Quarterly Report. Should one or more of these risks or uncertainties materialize, or should any of our assumptions prove incorrect, actual results may vary in material respects from those projected in these forward-looking statements, whether as a result of new information, future events or otherwise, except as may be required under applicable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6" w:name="PARTIFINANCIALINFORMATION_395275"/>
      <w:bookmarkStart w:id="37" w:name="_fadfd9d3_0b8b_45d5_b9b8_2961ac3cecfa"/>
      <w:bookmarkEnd w:id="36"/>
      <w:bookmarkEnd w:id="37"/>
      <w:r>
        <w:rPr>
          <w:rFonts w:ascii="Times New Roman;Times;serif" w:hAnsi="Times New Roman;Times;serif"/>
          <w:b/>
          <w:sz w:val="20"/>
        </w:rPr>
        <w:t>PART I —FINANCIAL INFORMATION</w:t>
      </w:r>
    </w:p>
    <w:p>
      <w:pPr>
        <w:pStyle w:val="TextBody"/>
        <w:bidi w:val="0"/>
        <w:spacing w:before="0" w:after="120"/>
        <w:ind w:left="0" w:right="0" w:hanging="0"/>
        <w:jc w:val="left"/>
        <w:rPr>
          <w:rFonts w:ascii="Times New Roman;Times;serif" w:hAnsi="Times New Roman;Times;serif"/>
          <w:b/>
          <w:sz w:val="20"/>
        </w:rPr>
      </w:pPr>
      <w:bookmarkStart w:id="38" w:name="Item1FinancialStatements_866050"/>
      <w:bookmarkEnd w:id="38"/>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bookmarkStart w:id="39" w:name="CondensedConsolidatedBalanceSheets_37183"/>
      <w:bookmarkEnd w:id="39"/>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b/>
          <w:i/>
          <w:sz w:val="20"/>
        </w:rPr>
        <w:t>Unaudited)</w:t>
      </w:r>
    </w:p>
    <w:p>
      <w:pPr>
        <w:pStyle w:val="Normal"/>
        <w:bidi w:val="0"/>
        <w:spacing w:before="0" w:after="0"/>
        <w:jc w:val="left"/>
        <w:rPr>
          <w:sz w:val="4"/>
          <w:szCs w:val="4"/>
        </w:rPr>
      </w:pPr>
      <w:r>
        <w:rPr>
          <w:sz w:val="4"/>
          <w:szCs w:val="4"/>
        </w:rPr>
      </w:r>
      <w:bookmarkStart w:id="40" w:name="Tc_RcMcwayTu0GMfNi0iOhl_g_37_5"/>
      <w:bookmarkStart w:id="41" w:name="Tc_1sMmWzR3wUa3F7ZgCJjEpQ_37_2"/>
      <w:bookmarkStart w:id="42" w:name="Tc_yBOkVBkJKkq_0HPJs-qohg_37_0"/>
      <w:bookmarkStart w:id="43" w:name="Tc_vZdsWjaolEyJVo3CsI_xlw_36_0"/>
      <w:bookmarkStart w:id="44" w:name="Tc_TZOhzfZYMkaT2DX3f9ylzQ_35_0"/>
      <w:bookmarkStart w:id="45" w:name="Tc_3jWgw0XcnkWPBbfs3_RNJQ_34_0"/>
      <w:bookmarkStart w:id="46" w:name="Tc_cUJ4qC5NrE2aX8BMQiLxKA_33_0"/>
      <w:bookmarkStart w:id="47" w:name="Tc_QpU_SsOo8kmGjof08KQacg_32_0"/>
      <w:bookmarkStart w:id="48" w:name="Tc_7KLMVluPiE2vsiaRer3vpA_31_0"/>
      <w:bookmarkStart w:id="49" w:name="Tc_8kg8IJ51sUW2TZ7rIsbcgg_30_0"/>
      <w:bookmarkStart w:id="50" w:name="Tc_hWweq_lKx0WvDwcxQyHgIw_28_0"/>
      <w:bookmarkStart w:id="51" w:name="Tc_DZXdB10Vy06nEUf3Q0ezjA_26_0"/>
      <w:bookmarkStart w:id="52" w:name="Tc__Zddy-CBskuXeF41dje4KA_25_0"/>
      <w:bookmarkStart w:id="53" w:name="Tc_vGNrLO5q8kukKuqZFWeFww_24_0"/>
      <w:bookmarkStart w:id="54" w:name="Tc_U68MY_JxIEmvMdYN0zgL9Q_22_0"/>
      <w:bookmarkStart w:id="55" w:name="Tc_vAJvnnuqFk6AkWwXJEE3vg_21_0"/>
      <w:bookmarkStart w:id="56" w:name="Tc_pVsHL5o3IEmJfkP_QcCPSg_20_0"/>
      <w:bookmarkStart w:id="57" w:name="Tc_eQZiF1VuYEKfilKuoBFWPw_19_5"/>
      <w:bookmarkStart w:id="58" w:name="Tc_ksK_FfaBYUecNCx3tB3bug_19_2"/>
      <w:bookmarkStart w:id="59" w:name="Tc_Xi-riyeBlUSvdByM7BLbkg_19_0"/>
      <w:bookmarkStart w:id="60" w:name="Tc_pkifaxVwbkmc0-1BvfxTSg_18_0"/>
      <w:bookmarkStart w:id="61" w:name="Tc_zhGlJ57NWU6r00tegsUiXQ_17_0"/>
      <w:bookmarkStart w:id="62" w:name="Tc_UJHJyZP-IU6IKgO7mG2tBQ_15_5"/>
      <w:bookmarkStart w:id="63" w:name="Tc_fZdaSWJUeUaFVylZ1A6o0w_15_2"/>
      <w:bookmarkStart w:id="64" w:name="Tc_z_jSLYms3EOUt_AascXWrA_15_0"/>
      <w:bookmarkStart w:id="65" w:name="Tc_rkqcfij1hk2PirnCCxowqw_14_0"/>
      <w:bookmarkStart w:id="66" w:name="Tc_bxOWXuAGK0e5T6HCdoHrgA_13_0"/>
      <w:bookmarkStart w:id="67" w:name="Tc_4h6E5mTTKEqJ3Y3LDmpSZg_12_0"/>
      <w:bookmarkStart w:id="68" w:name="Tc_RI8BWEmeAkuRlcSISfnDNQ_11_6"/>
      <w:bookmarkStart w:id="69" w:name="Tc_Sn8eiPBgAEyyPgAqu3hCIQ_11_0"/>
      <w:bookmarkStart w:id="70" w:name="Tc_O7lrvsxU0kay_oVryve6_Q_10_0"/>
      <w:bookmarkStart w:id="71" w:name="Tc_MEyHlT0V7Uau_eeXorJkgA_8_0"/>
      <w:bookmarkStart w:id="72" w:name="Tc_NqFN3TGrkkOOyLfo3pFhZQ_7_0"/>
      <w:bookmarkStart w:id="73" w:name="Tc_-v_YfghWrEOKKoL_b-3VOg_6_0"/>
      <w:bookmarkStart w:id="74" w:name="Tc_-CBQLa8AnUyJwuvem8ShTw_5_5"/>
      <w:bookmarkStart w:id="75" w:name="Tc_BNxo6rSVH0axOHIO6iAOeQ_5_2"/>
      <w:bookmarkStart w:id="76" w:name="Tc_oVYtkBQo_EuzPfrAw_gN9Q_5_0"/>
      <w:bookmarkStart w:id="77" w:name="Tc_8JNp_c4tMkKxlIfCcDMJmw_4_0"/>
      <w:bookmarkStart w:id="78" w:name="Tc_rLPPGrhU0EKETFKlU64ozQ_3_0"/>
      <w:bookmarkStart w:id="79" w:name="Tc_NQ6c4g9_3UqmgwjCJSMaPg_2_5"/>
      <w:bookmarkStart w:id="80" w:name="Tc_cj5D4p2wlUajilCY-6g6yg_2_2"/>
      <w:bookmarkStart w:id="81" w:name="Tc_dfwmAFqS-0CnhEyMAwSEAg_1_5"/>
      <w:bookmarkStart w:id="82" w:name="Tc_Y-ZwQlbRAU2uSDWI7PNf3w_1_2"/>
      <w:bookmarkStart w:id="83" w:name="_02fb105f_5de0_4da4_95d9_b887c43e9b2c"/>
      <w:bookmarkStart w:id="84" w:name="Tc_RcMcwayTu0GMfNi0iOhl_g_37_5"/>
      <w:bookmarkStart w:id="85" w:name="Tc_1sMmWzR3wUa3F7ZgCJjEpQ_37_2"/>
      <w:bookmarkStart w:id="86" w:name="Tc_yBOkVBkJKkq_0HPJs-qohg_37_0"/>
      <w:bookmarkStart w:id="87" w:name="Tc_vZdsWjaolEyJVo3CsI_xlw_36_0"/>
      <w:bookmarkStart w:id="88" w:name="Tc_TZOhzfZYMkaT2DX3f9ylzQ_35_0"/>
      <w:bookmarkStart w:id="89" w:name="Tc_3jWgw0XcnkWPBbfs3_RNJQ_34_0"/>
      <w:bookmarkStart w:id="90" w:name="Tc_cUJ4qC5NrE2aX8BMQiLxKA_33_0"/>
      <w:bookmarkStart w:id="91" w:name="Tc_QpU_SsOo8kmGjof08KQacg_32_0"/>
      <w:bookmarkStart w:id="92" w:name="Tc_7KLMVluPiE2vsiaRer3vpA_31_0"/>
      <w:bookmarkStart w:id="93" w:name="Tc_8kg8IJ51sUW2TZ7rIsbcgg_30_0"/>
      <w:bookmarkStart w:id="94" w:name="Tc_hWweq_lKx0WvDwcxQyHgIw_28_0"/>
      <w:bookmarkStart w:id="95" w:name="Tc_DZXdB10Vy06nEUf3Q0ezjA_26_0"/>
      <w:bookmarkStart w:id="96" w:name="Tc__Zddy-CBskuXeF41dje4KA_25_0"/>
      <w:bookmarkStart w:id="97" w:name="Tc_vGNrLO5q8kukKuqZFWeFww_24_0"/>
      <w:bookmarkStart w:id="98" w:name="Tc_U68MY_JxIEmvMdYN0zgL9Q_22_0"/>
      <w:bookmarkStart w:id="99" w:name="Tc_vAJvnnuqFk6AkWwXJEE3vg_21_0"/>
      <w:bookmarkStart w:id="100" w:name="Tc_pVsHL5o3IEmJfkP_QcCPSg_20_0"/>
      <w:bookmarkStart w:id="101" w:name="Tc_eQZiF1VuYEKfilKuoBFWPw_19_5"/>
      <w:bookmarkStart w:id="102" w:name="Tc_ksK_FfaBYUecNCx3tB3bug_19_2"/>
      <w:bookmarkStart w:id="103" w:name="Tc_Xi-riyeBlUSvdByM7BLbkg_19_0"/>
      <w:bookmarkStart w:id="104" w:name="Tc_pkifaxVwbkmc0-1BvfxTSg_18_0"/>
      <w:bookmarkStart w:id="105" w:name="Tc_zhGlJ57NWU6r00tegsUiXQ_17_0"/>
      <w:bookmarkStart w:id="106" w:name="Tc_UJHJyZP-IU6IKgO7mG2tBQ_15_5"/>
      <w:bookmarkStart w:id="107" w:name="Tc_fZdaSWJUeUaFVylZ1A6o0w_15_2"/>
      <w:bookmarkStart w:id="108" w:name="Tc_z_jSLYms3EOUt_AascXWrA_15_0"/>
      <w:bookmarkStart w:id="109" w:name="Tc_rkqcfij1hk2PirnCCxowqw_14_0"/>
      <w:bookmarkStart w:id="110" w:name="Tc_bxOWXuAGK0e5T6HCdoHrgA_13_0"/>
      <w:bookmarkStart w:id="111" w:name="Tc_4h6E5mTTKEqJ3Y3LDmpSZg_12_0"/>
      <w:bookmarkStart w:id="112" w:name="Tc_RI8BWEmeAkuRlcSISfnDNQ_11_6"/>
      <w:bookmarkStart w:id="113" w:name="Tc_Sn8eiPBgAEyyPgAqu3hCIQ_11_0"/>
      <w:bookmarkStart w:id="114" w:name="Tc_O7lrvsxU0kay_oVryve6_Q_10_0"/>
      <w:bookmarkStart w:id="115" w:name="Tc_MEyHlT0V7Uau_eeXorJkgA_8_0"/>
      <w:bookmarkStart w:id="116" w:name="Tc_NqFN3TGrkkOOyLfo3pFhZQ_7_0"/>
      <w:bookmarkStart w:id="117" w:name="Tc_-v_YfghWrEOKKoL_b-3VOg_6_0"/>
      <w:bookmarkStart w:id="118" w:name="Tc_-CBQLa8AnUyJwuvem8ShTw_5_5"/>
      <w:bookmarkStart w:id="119" w:name="Tc_BNxo6rSVH0axOHIO6iAOeQ_5_2"/>
      <w:bookmarkStart w:id="120" w:name="Tc_oVYtkBQo_EuzPfrAw_gN9Q_5_0"/>
      <w:bookmarkStart w:id="121" w:name="Tc_8JNp_c4tMkKxlIfCcDMJmw_4_0"/>
      <w:bookmarkStart w:id="122" w:name="Tc_rLPPGrhU0EKETFKlU64ozQ_3_0"/>
      <w:bookmarkStart w:id="123" w:name="Tc_NQ6c4g9_3UqmgwjCJSMaPg_2_5"/>
      <w:bookmarkStart w:id="124" w:name="Tc_cj5D4p2wlUajilCY-6g6yg_2_2"/>
      <w:bookmarkStart w:id="125" w:name="Tc_dfwmAFqS-0CnhEyMAwSEAg_1_5"/>
      <w:bookmarkStart w:id="126" w:name="Tc_Y-ZwQlbRAU2uSDWI7PNf3w_1_2"/>
      <w:bookmarkStart w:id="127" w:name="_02fb105f_5de0_4da4_95d9_b887c43e9b2c"/>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tbl>
      <w:tblPr>
        <w:tblW w:w="10205" w:type="dxa"/>
        <w:jc w:val="left"/>
        <w:tblInd w:w="0" w:type="dxa"/>
        <w:tblLayout w:type="fixed"/>
        <w:tblCellMar>
          <w:top w:w="0" w:type="dxa"/>
          <w:left w:w="0" w:type="dxa"/>
          <w:bottom w:w="0" w:type="dxa"/>
          <w:right w:w="0" w:type="dxa"/>
        </w:tblCellMar>
      </w:tblPr>
      <w:tblGrid>
        <w:gridCol w:w="7054"/>
        <w:gridCol w:w="346"/>
        <w:gridCol w:w="196"/>
        <w:gridCol w:w="779"/>
        <w:gridCol w:w="346"/>
        <w:gridCol w:w="225"/>
        <w:gridCol w:w="867"/>
        <w:gridCol w:w="392"/>
      </w:tblGrid>
      <w:tr>
        <w:trPr/>
        <w:tc>
          <w:tcPr>
            <w:tcW w:w="7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79290" cy="175260"/>
                      <wp:effectExtent l="0" t="0" r="0" b="0"/>
                      <wp:wrapNone/>
                      <wp:docPr id="4" name="Frame4"/>
                      <a:graphic xmlns:a="http://schemas.openxmlformats.org/drawingml/2006/main">
                        <a:graphicData uri="http://schemas.microsoft.com/office/word/2010/wordprocessingShape">
                          <wps:wsp>
                            <wps:cNvSpPr txBox="1"/>
                            <wps:spPr>
                              <a:xfrm>
                                <a:off x="0" y="0"/>
                                <a:ext cx="447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4665" cy="175260"/>
                      <wp:effectExtent l="0" t="0" r="0" b="0"/>
                      <wp:wrapNone/>
                      <wp:docPr id="7" name="Frame7"/>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2875" cy="175260"/>
                      <wp:effectExtent l="0" t="0" r="0" b="0"/>
                      <wp:wrapNone/>
                      <wp:docPr id="9" name="Frame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50545" cy="175260"/>
                      <wp:effectExtent l="0" t="0" r="0" b="0"/>
                      <wp:wrapNone/>
                      <wp:docPr id="10" name="Frame10"/>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8920" cy="175260"/>
                      <wp:effectExtent l="0" t="0" r="0" b="0"/>
                      <wp:wrapNone/>
                      <wp:docPr id="11" name="Frame1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2" w:type="dxa"/>
            <w:tcBorders/>
            <w:vAlign w:val="center"/>
          </w:tcPr>
          <w:p>
            <w:pPr>
              <w:pStyle w:val="TableContents"/>
              <w:bidi w:val="0"/>
              <w:spacing w:before="0" w:after="1"/>
              <w:ind w:left="0" w:right="0" w:hanging="0"/>
              <w:jc w:val="left"/>
              <w:rPr/>
            </w:pPr>
            <w:r>
              <w:rPr/>
              <w:t>  ​ ​ ​</w: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left"/>
              <w:rPr/>
            </w:pPr>
            <w:r>
              <w:rPr/>
              <w:t> </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130,737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97,164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142,781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299,559</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LIABILITIES AND STOCKHOLDERS’ EQUITY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5,917</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8,214</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7,574</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Commitments and Contingencies (Note 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Stockholders’ Equity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shares, $0.0001 par value; 500,000,000 authorized shares; 82,718,567 and 81,771,422 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Exchangeable shares, $0.0001 par value; 23,216,687 and 24,011,017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424,620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418,815</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(144,527)</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(124,625)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281,654</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295,406</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28" w:name="_3f7fc348_8620_4ed6_9eb6_c55751acba4a"/>
      <w:bookmarkEnd w:id="128"/>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bookmarkStart w:id="129" w:name="CondensedConsolidatedStatementsofOperati"/>
      <w:bookmarkEnd w:id="129"/>
      <w:r>
        <w:rPr>
          <w:rFonts w:ascii="Times New Roman;Times;serif" w:hAnsi="Times New Roman;Times;serif"/>
          <w:b/>
          <w:sz w:val="20"/>
        </w:rPr>
        <w:t>Condensed Consolidated Statements of Operations and Comprehensive Loss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Normal"/>
        <w:bidi w:val="0"/>
        <w:spacing w:before="0" w:after="0"/>
        <w:jc w:val="left"/>
        <w:rPr>
          <w:sz w:val="4"/>
          <w:szCs w:val="4"/>
        </w:rPr>
      </w:pPr>
      <w:r>
        <w:rPr>
          <w:sz w:val="4"/>
          <w:szCs w:val="4"/>
        </w:rPr>
      </w:r>
      <w:bookmarkStart w:id="130" w:name="Tc_kiv-W_7cz0mvHn7VIq2OAg_31_11"/>
      <w:bookmarkStart w:id="131" w:name="Tc_BBuTyaxpaE-81L3_DpbJyQ_31_8"/>
      <w:bookmarkStart w:id="132" w:name="Tc_Ulzon44NakOJJ8wQD3TkLA_31_5"/>
      <w:bookmarkStart w:id="133" w:name="Tc_kIm5rhslQUuryzuSucQ4qw_31_2"/>
      <w:bookmarkStart w:id="134" w:name="Tc_9s1W6O15nkKSDAyBWV0HZw_31_0"/>
      <w:bookmarkStart w:id="135" w:name="Tc_2h9LXWlhbUydiP4l6Fkb6A_30_12"/>
      <w:bookmarkStart w:id="136" w:name="Tc_pmFnfHGVPkianLtnuqu9mQ_30_6"/>
      <w:bookmarkStart w:id="137" w:name="Tc_rPSvy2Od1EmDKS6JX9hEkA_30_0"/>
      <w:bookmarkStart w:id="138" w:name="Tc_N2Y_ijQgf0uSTxifKNilJA_29_0"/>
      <w:bookmarkStart w:id="139" w:name="Tc_VmhwSFgE2kOb2IUIasZ7Pg_28_0"/>
      <w:bookmarkStart w:id="140" w:name="Tc_mVWFhuMunU6awu8SxWJvmA_27_11"/>
      <w:bookmarkStart w:id="141" w:name="Tc_2seqa0Pbs0GocdbvXM9YRA_27_8"/>
      <w:bookmarkStart w:id="142" w:name="Tc_ahOZSbYyOUC-WGLpVe0k0A_27_5"/>
      <w:bookmarkStart w:id="143" w:name="Tc_zJJpvdqUoEa_PvW51EGZgA_27_2"/>
      <w:bookmarkStart w:id="144" w:name="Tc_7zFrFeLjV0yJSekDAFRzsg_27_0"/>
      <w:bookmarkStart w:id="145" w:name="Tc_BzjHFOy-xUGPVwKI7Dc1vg_25_0"/>
      <w:bookmarkStart w:id="146" w:name="Tc_jg7zewrJTUGxo0Sl2MciWg_24_11"/>
      <w:bookmarkStart w:id="147" w:name="Tc_ci9KH-nJLEaUmKIwstZMvA_24_8"/>
      <w:bookmarkStart w:id="148" w:name="Tc_TVhzWlVvXUKbpeZHSuNa9Q_24_5"/>
      <w:bookmarkStart w:id="149" w:name="Tc_hegL4-f2e0CY7Y3-kCB1qQ_24_2"/>
      <w:bookmarkStart w:id="150" w:name="Tc_lNi0dHcC50yBIfdSInvQPg_24_0"/>
      <w:bookmarkStart w:id="151" w:name="Tc_3Qsn03HZL0y7Ix8gGe0tMA_22_0"/>
      <w:bookmarkStart w:id="152" w:name="Tc_E4NSNPP5RUShPFG_2VRjKQ_21_12"/>
      <w:bookmarkStart w:id="153" w:name="Tc_b8HfGFlVVUy-kp9Ycn0jBA_21_6"/>
      <w:bookmarkStart w:id="154" w:name="Tc_YTdf4kDhak2GWOD--q73BQ_21_0"/>
      <w:bookmarkStart w:id="155" w:name="Tc_-gcAX6XkJ0W6f3kzKxt1tg_20_0"/>
      <w:bookmarkStart w:id="156" w:name="Tc_SC743ZM3W0yKwGkVaI83hQ_18_0"/>
      <w:bookmarkStart w:id="157" w:name="Tc_a0uNf2f3OkqSgkLLjYa1tg_17_0"/>
      <w:bookmarkStart w:id="158" w:name="Tc_KKZ0RDGQ9kadNz_Qpd5lTw_16_0"/>
      <w:bookmarkStart w:id="159" w:name="Tc_8k8PpJYFhkKO6pkD7fWpkw_15_9"/>
      <w:bookmarkStart w:id="160" w:name="Tc_XONT3Uq_ME2YsoLhf9bQoA_15_3"/>
      <w:bookmarkStart w:id="161" w:name="Tc_6hyoZNjjNEaw6q0JH47bUw_15_0"/>
      <w:bookmarkStart w:id="162" w:name="Tc_yuq4-wfVSUCOE7mo1dEZXQ_14_3"/>
      <w:bookmarkStart w:id="163" w:name="Tc_1TK2BbnKI0ucLqS8abXwrQ_14_0"/>
      <w:bookmarkStart w:id="164" w:name="Tc_vI5ilGKO60eJSbl6KUfPYg_13_0"/>
      <w:bookmarkStart w:id="165" w:name="Tc_itFCvL9HtkihQShOT6CRDA_12_0"/>
      <w:bookmarkStart w:id="166" w:name="Tc_ZDcB0kCidkCubm3s8pnRog_10_0"/>
      <w:bookmarkStart w:id="167" w:name="Tc_ExHraVjjkESIDX05BZqA9A_9_0"/>
      <w:bookmarkStart w:id="168" w:name="Tc_rBSHiKHEY0CZ6clgbrwT7g_8_0"/>
      <w:bookmarkStart w:id="169" w:name="Tc_vKBMXroInk6d4GaQfUDP-w_7_0"/>
      <w:bookmarkStart w:id="170" w:name="Tc_4UNcfJeeIkOBXHMS8H-iHQ_6_11"/>
      <w:bookmarkStart w:id="171" w:name="Tc_7zSk55_ILE6iFrMUjFMTjA_6_8"/>
      <w:bookmarkStart w:id="172" w:name="Tc_dtzjdWm-UUSoq2NO8hEyuA_6_5"/>
      <w:bookmarkStart w:id="173" w:name="Tc_yLXkCsGby0m0RHEyUtG7Rw_6_2"/>
      <w:bookmarkStart w:id="174" w:name="Tc_jDvRXa-mI0ullS-0G4JfUg_6_0"/>
      <w:bookmarkStart w:id="175" w:name="Tc_MKP5gGg8m0edjNKJLm5Pnw_5_0"/>
      <w:bookmarkStart w:id="176" w:name="Tc_OmbhE7AJVkiA02xgx5RT-A_3_11"/>
      <w:bookmarkStart w:id="177" w:name="Tc_9y_FUqj0m0ORqasL8Hq8Uw_3_8"/>
      <w:bookmarkStart w:id="178" w:name="Tc_4xOaPt9DdkyPWo5q3R8rBQ_3_5"/>
      <w:bookmarkStart w:id="179" w:name="Tc_S4_wgCul7Eyu1tmuIXm-CQ_3_2"/>
      <w:bookmarkStart w:id="180" w:name="Tc_ALutPGojA0eVGDwEClNBMQ_2_8"/>
      <w:bookmarkStart w:id="181" w:name="Tc_l2tcECTIcEyEeeWDhrF5lg_2_2"/>
      <w:bookmarkStart w:id="182" w:name="Tc_kNEUDsLFvEuZsMT1ic709g_1_8"/>
      <w:bookmarkStart w:id="183" w:name="Tc_RFHf_IylqUm9byt9OkT-HQ_1_2"/>
      <w:bookmarkStart w:id="184" w:name="_ae91fce2_b2ad_4880_badf_7a202f31fafe"/>
      <w:bookmarkStart w:id="185" w:name="_f3056b2f_de15_4b71_be0a_0872d36bd27e"/>
      <w:bookmarkStart w:id="186" w:name="Tc_kiv-W_7cz0mvHn7VIq2OAg_31_11"/>
      <w:bookmarkStart w:id="187" w:name="Tc_BBuTyaxpaE-81L3_DpbJyQ_31_8"/>
      <w:bookmarkStart w:id="188" w:name="Tc_Ulzon44NakOJJ8wQD3TkLA_31_5"/>
      <w:bookmarkStart w:id="189" w:name="Tc_kIm5rhslQUuryzuSucQ4qw_31_2"/>
      <w:bookmarkStart w:id="190" w:name="Tc_9s1W6O15nkKSDAyBWV0HZw_31_0"/>
      <w:bookmarkStart w:id="191" w:name="Tc_2h9LXWlhbUydiP4l6Fkb6A_30_12"/>
      <w:bookmarkStart w:id="192" w:name="Tc_pmFnfHGVPkianLtnuqu9mQ_30_6"/>
      <w:bookmarkStart w:id="193" w:name="Tc_rPSvy2Od1EmDKS6JX9hEkA_30_0"/>
      <w:bookmarkStart w:id="194" w:name="Tc_N2Y_ijQgf0uSTxifKNilJA_29_0"/>
      <w:bookmarkStart w:id="195" w:name="Tc_VmhwSFgE2kOb2IUIasZ7Pg_28_0"/>
      <w:bookmarkStart w:id="196" w:name="Tc_mVWFhuMunU6awu8SxWJvmA_27_11"/>
      <w:bookmarkStart w:id="197" w:name="Tc_2seqa0Pbs0GocdbvXM9YRA_27_8"/>
      <w:bookmarkStart w:id="198" w:name="Tc_ahOZSbYyOUC-WGLpVe0k0A_27_5"/>
      <w:bookmarkStart w:id="199" w:name="Tc_zJJpvdqUoEa_PvW51EGZgA_27_2"/>
      <w:bookmarkStart w:id="200" w:name="Tc_7zFrFeLjV0yJSekDAFRzsg_27_0"/>
      <w:bookmarkStart w:id="201" w:name="Tc_BzjHFOy-xUGPVwKI7Dc1vg_25_0"/>
      <w:bookmarkStart w:id="202" w:name="Tc_jg7zewrJTUGxo0Sl2MciWg_24_11"/>
      <w:bookmarkStart w:id="203" w:name="Tc_ci9KH-nJLEaUmKIwstZMvA_24_8"/>
      <w:bookmarkStart w:id="204" w:name="Tc_TVhzWlVvXUKbpeZHSuNa9Q_24_5"/>
      <w:bookmarkStart w:id="205" w:name="Tc_hegL4-f2e0CY7Y3-kCB1qQ_24_2"/>
      <w:bookmarkStart w:id="206" w:name="Tc_lNi0dHcC50yBIfdSInvQPg_24_0"/>
      <w:bookmarkStart w:id="207" w:name="Tc_3Qsn03HZL0y7Ix8gGe0tMA_22_0"/>
      <w:bookmarkStart w:id="208" w:name="Tc_E4NSNPP5RUShPFG_2VRjKQ_21_12"/>
      <w:bookmarkStart w:id="209" w:name="Tc_b8HfGFlVVUy-kp9Ycn0jBA_21_6"/>
      <w:bookmarkStart w:id="210" w:name="Tc_YTdf4kDhak2GWOD--q73BQ_21_0"/>
      <w:bookmarkStart w:id="211" w:name="Tc_-gcAX6XkJ0W6f3kzKxt1tg_20_0"/>
      <w:bookmarkStart w:id="212" w:name="Tc_SC743ZM3W0yKwGkVaI83hQ_18_0"/>
      <w:bookmarkStart w:id="213" w:name="Tc_a0uNf2f3OkqSgkLLjYa1tg_17_0"/>
      <w:bookmarkStart w:id="214" w:name="Tc_KKZ0RDGQ9kadNz_Qpd5lTw_16_0"/>
      <w:bookmarkStart w:id="215" w:name="Tc_8k8PpJYFhkKO6pkD7fWpkw_15_9"/>
      <w:bookmarkStart w:id="216" w:name="Tc_XONT3Uq_ME2YsoLhf9bQoA_15_3"/>
      <w:bookmarkStart w:id="217" w:name="Tc_6hyoZNjjNEaw6q0JH47bUw_15_0"/>
      <w:bookmarkStart w:id="218" w:name="Tc_yuq4-wfVSUCOE7mo1dEZXQ_14_3"/>
      <w:bookmarkStart w:id="219" w:name="Tc_1TK2BbnKI0ucLqS8abXwrQ_14_0"/>
      <w:bookmarkStart w:id="220" w:name="Tc_vI5ilGKO60eJSbl6KUfPYg_13_0"/>
      <w:bookmarkStart w:id="221" w:name="Tc_itFCvL9HtkihQShOT6CRDA_12_0"/>
      <w:bookmarkStart w:id="222" w:name="Tc_ZDcB0kCidkCubm3s8pnRog_10_0"/>
      <w:bookmarkStart w:id="223" w:name="Tc_ExHraVjjkESIDX05BZqA9A_9_0"/>
      <w:bookmarkStart w:id="224" w:name="Tc_rBSHiKHEY0CZ6clgbrwT7g_8_0"/>
      <w:bookmarkStart w:id="225" w:name="Tc_vKBMXroInk6d4GaQfUDP-w_7_0"/>
      <w:bookmarkStart w:id="226" w:name="Tc_4UNcfJeeIkOBXHMS8H-iHQ_6_11"/>
      <w:bookmarkStart w:id="227" w:name="Tc_7zSk55_ILE6iFrMUjFMTjA_6_8"/>
      <w:bookmarkStart w:id="228" w:name="Tc_dtzjdWm-UUSoq2NO8hEyuA_6_5"/>
      <w:bookmarkStart w:id="229" w:name="Tc_yLXkCsGby0m0RHEyUtG7Rw_6_2"/>
      <w:bookmarkStart w:id="230" w:name="Tc_jDvRXa-mI0ullS-0G4JfUg_6_0"/>
      <w:bookmarkStart w:id="231" w:name="Tc_MKP5gGg8m0edjNKJLm5Pnw_5_0"/>
      <w:bookmarkStart w:id="232" w:name="Tc_OmbhE7AJVkiA02xgx5RT-A_3_11"/>
      <w:bookmarkStart w:id="233" w:name="Tc_9y_FUqj0m0ORqasL8Hq8Uw_3_8"/>
      <w:bookmarkStart w:id="234" w:name="Tc_4xOaPt9DdkyPWo5q3R8rBQ_3_5"/>
      <w:bookmarkStart w:id="235" w:name="Tc_S4_wgCul7Eyu1tmuIXm-CQ_3_2"/>
      <w:bookmarkStart w:id="236" w:name="Tc_ALutPGojA0eVGDwEClNBMQ_2_8"/>
      <w:bookmarkStart w:id="237" w:name="Tc_l2tcECTIcEyEeeWDhrF5lg_2_2"/>
      <w:bookmarkStart w:id="238" w:name="Tc_kNEUDsLFvEuZsMT1ic709g_1_8"/>
      <w:bookmarkStart w:id="239" w:name="Tc_RFHf_IylqUm9byt9OkT-HQ_1_2"/>
      <w:bookmarkStart w:id="240" w:name="_ae91fce2_b2ad_4880_badf_7a202f31fafe"/>
      <w:bookmarkStart w:id="241" w:name="_f3056b2f_de15_4b71_be0a_0872d36bd27e"/>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tbl>
      <w:tblPr>
        <w:tblW w:w="10205" w:type="dxa"/>
        <w:jc w:val="left"/>
        <w:tblInd w:w="0" w:type="dxa"/>
        <w:tblLayout w:type="fixed"/>
        <w:tblCellMar>
          <w:top w:w="0" w:type="dxa"/>
          <w:left w:w="0" w:type="dxa"/>
          <w:bottom w:w="0" w:type="dxa"/>
          <w:right w:w="0" w:type="dxa"/>
        </w:tblCellMar>
      </w:tblPr>
      <w:tblGrid>
        <w:gridCol w:w="3232"/>
        <w:gridCol w:w="346"/>
        <w:gridCol w:w="211"/>
        <w:gridCol w:w="1141"/>
        <w:gridCol w:w="346"/>
        <w:gridCol w:w="211"/>
        <w:gridCol w:w="1036"/>
        <w:gridCol w:w="346"/>
        <w:gridCol w:w="211"/>
        <w:gridCol w:w="1141"/>
        <w:gridCol w:w="346"/>
        <w:gridCol w:w="211"/>
        <w:gridCol w:w="1036"/>
        <w:gridCol w:w="391"/>
      </w:tblGrid>
      <w:tr>
        <w:trPr/>
        <w:tc>
          <w:tcPr>
            <w:tcW w:w="3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52320" cy="175260"/>
                      <wp:effectExtent l="0" t="0" r="0" b="0"/>
                      <wp:wrapNone/>
                      <wp:docPr id="12" name="Frame12"/>
                      <a:graphic xmlns:a="http://schemas.openxmlformats.org/drawingml/2006/main">
                        <a:graphicData uri="http://schemas.microsoft.com/office/word/2010/wordprocessingShape">
                          <wps:wsp>
                            <wps:cNvSpPr txBox="1"/>
                            <wps:spPr>
                              <a:xfrm>
                                <a:off x="0" y="0"/>
                                <a:ext cx="205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5" name="Frame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8285" cy="175260"/>
                      <wp:effectExtent l="0" t="0" r="0" b="0"/>
                      <wp:wrapNone/>
                      <wp:docPr id="25" name="Frame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expense – related party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common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105,935,254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105,899,684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net unrealized gains on short-term and 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(9,828)</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(19,557)</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2" w:name="_17a37301_d479_4624_a1e4_6705c63bf8ac"/>
      <w:bookmarkEnd w:id="242"/>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bookmarkStart w:id="243" w:name="CondensedConsolidatedStatementsofChanges"/>
      <w:bookmarkEnd w:id="243"/>
      <w:r>
        <w:rPr>
          <w:rFonts w:ascii="Times New Roman;Times;serif" w:hAnsi="Times New Roman;Times;serif"/>
          <w:b/>
          <w:sz w:val="20"/>
        </w:rPr>
        <w:t>Condensed Consolidated Statements of Changes in Stockholders’ Equity (Deficit)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Normal"/>
        <w:bidi w:val="0"/>
        <w:spacing w:before="0" w:after="0"/>
        <w:jc w:val="left"/>
        <w:rPr>
          <w:sz w:val="4"/>
          <w:szCs w:val="4"/>
        </w:rPr>
      </w:pPr>
      <w:r>
        <w:rPr>
          <w:sz w:val="4"/>
          <w:szCs w:val="4"/>
        </w:rPr>
      </w:r>
      <w:bookmarkStart w:id="244" w:name="Tc_oH392dTmzE-bps1aK8ABSQ_19_21"/>
      <w:bookmarkStart w:id="245" w:name="Tc_eM6HCI40aUmGUwNetiMs0Q_19_18"/>
      <w:bookmarkStart w:id="246" w:name="Tc_3R1-u-zUFkKnl9188Zedog_19_15"/>
      <w:bookmarkStart w:id="247" w:name="Tc_EGl0vzL_zUaiGq0JKvExfw_19_12"/>
      <w:bookmarkStart w:id="248" w:name="Tc_QSYuHIihc0upPNZnHaaiqQ_19_9"/>
      <w:bookmarkStart w:id="249" w:name="Tc_G_bohOGfYEmmjtw1SOqsgQ_19_4"/>
      <w:bookmarkStart w:id="250" w:name="Tc_1AB1JIQj_0u3zTr-CUPdAA_19_0"/>
      <w:bookmarkStart w:id="251" w:name="Tc_-AzAXq-VjUatlT2eCIsAkg_18_16"/>
      <w:bookmarkStart w:id="252" w:name="Tc_uDRdqDLEz0C3HwfjBEsndA_18_13"/>
      <w:bookmarkStart w:id="253" w:name="Tc_6iJUAQSGMESuGvLFuejcZg_18_10"/>
      <w:bookmarkStart w:id="254" w:name="Tc_cxn7M6laQU6Wj75xJjuQ9g_18_7"/>
      <w:bookmarkStart w:id="255" w:name="Tc_tQOLWEQRFEqsLEbDXNDhkQ_18_5"/>
      <w:bookmarkStart w:id="256" w:name="Tc_AFL4UleHR0SZvWx21h2_sQ_18_2"/>
      <w:bookmarkStart w:id="257" w:name="Tc_Jj8S6X0QCUaHt8M-jJUdxA_18_0"/>
      <w:bookmarkStart w:id="258" w:name="Tc_3fxvFwBAr0SDDLveKCf-_A_17_19"/>
      <w:bookmarkStart w:id="259" w:name="Tc_4jgLWAqkR0CwnGP0eff4SQ_17_13"/>
      <w:bookmarkStart w:id="260" w:name="Tc_P91rhxc9M0O2Z5RoHK5KHg_17_10"/>
      <w:bookmarkStart w:id="261" w:name="Tc_bOwyN1uwJEWF6GuWqkxyqw_17_7"/>
      <w:bookmarkStart w:id="262" w:name="Tc_qE-wiGaKs0WYnF712l59oA_17_5"/>
      <w:bookmarkStart w:id="263" w:name="Tc_vYpk3UbfMkKTiLvinpBIVA_17_2"/>
      <w:bookmarkStart w:id="264" w:name="Tc_qEpWbcADZUKBO24XJF9SJQ_17_0"/>
      <w:bookmarkStart w:id="265" w:name="Tc_8U3NGwVClkyPX7mLd9csQg_16_19"/>
      <w:bookmarkStart w:id="266" w:name="Tc_aqpeWfbLU0y_iEwwJvI_Ng_16_13"/>
      <w:bookmarkStart w:id="267" w:name="Tc_5hyRxY8TFk-ZL7Hm4qBNkA_16_10"/>
      <w:bookmarkStart w:id="268" w:name="Tc_fhIYxA6hpkWzN2ZM6mM_Jw_16_7"/>
      <w:bookmarkStart w:id="269" w:name="Tc_opXaWX6jJUWXX5mzprZzfg_16_5"/>
      <w:bookmarkStart w:id="270" w:name="Tc_5BM45cZCukiIOHynHYFK_A_16_2"/>
      <w:bookmarkStart w:id="271" w:name="Tc_3dktBTQX90mOqalA_Oo20w_16_0"/>
      <w:bookmarkStart w:id="272" w:name="Tc_2EVFhg3rfU-rbGolW_c7Sw_15_22"/>
      <w:bookmarkStart w:id="273" w:name="Tc_PUhhlaXzgESojj9fee4IGw_15_19"/>
      <w:bookmarkStart w:id="274" w:name="Tc_7BVTRxksYU6Y1_0FUpBvhw_15_16"/>
      <w:bookmarkStart w:id="275" w:name="Tc_FcSWJ5sTwkWnAME0DoYPZg_15_13"/>
      <w:bookmarkStart w:id="276" w:name="Tc_jKQ51xKAwUSmfxwv91glSA_15_10"/>
      <w:bookmarkStart w:id="277" w:name="Tc_48pXYQ9tNEKSSzzUcHrN8g_15_5"/>
      <w:bookmarkStart w:id="278" w:name="Tc_ZZ72EggqYkCrvSu0tDZh0w_15_0"/>
      <w:bookmarkStart w:id="279" w:name="Tc_sYKb53O60Ui77ma82113XA_14_19"/>
      <w:bookmarkStart w:id="280" w:name="Tc_PcUwtZlL5U2TF73v4N1a-Q_14_16"/>
      <w:bookmarkStart w:id="281" w:name="Tc_vlMJEuAnwUagfXF-nZck7g_14_10"/>
      <w:bookmarkStart w:id="282" w:name="Tc_-sYD_UwIQ0eR_GyNQN0IHg_14_7"/>
      <w:bookmarkStart w:id="283" w:name="Tc_VslflrtGIUeGp5kgR_34Cg_14_5"/>
      <w:bookmarkStart w:id="284" w:name="Tc_zmo_uPOVhE2vc1NgSATDiw_14_2"/>
      <w:bookmarkStart w:id="285" w:name="Tc_O7BcTVv270SA3bZhBwMa3w_14_0"/>
      <w:bookmarkStart w:id="286" w:name="Tc_j2QfoUPCFU25mb048r9Hzg_13_21"/>
      <w:bookmarkStart w:id="287" w:name="Tc_49a2SYDZb0ebLhcyd2dNrQ_13_18"/>
      <w:bookmarkStart w:id="288" w:name="Tc_ULG1mjiQrUa3X7BGcpmlnA_13_15"/>
      <w:bookmarkStart w:id="289" w:name="Tc_goXE_reC7Uu1ouRqX277hw_13_12"/>
      <w:bookmarkStart w:id="290" w:name="Tc_xXJgtOzo50OQqkEo4IF7XQ_13_9"/>
      <w:bookmarkStart w:id="291" w:name="Tc__494MBqS6kyUIkt3dA9shg_13_4"/>
      <w:bookmarkStart w:id="292" w:name="Tc_5KlYMZ7FXUmW8_sFBBZ3Bw_13_0"/>
      <w:bookmarkStart w:id="293" w:name="Tc_EKN1TvOeI0q-AUVnpPsiyg_12_16"/>
      <w:bookmarkStart w:id="294" w:name="Tc_XpqCTw6-fEuA8sCxQVosAw_12_13"/>
      <w:bookmarkStart w:id="295" w:name="Tc_vh9kD_K4UEKsVgSoe8wqhg_12_10"/>
      <w:bookmarkStart w:id="296" w:name="Tc_hCsbwRJMNEmiRP4-y7Wy-w_12_7"/>
      <w:bookmarkStart w:id="297" w:name="Tc_lfl6tB0DF0SVpMKvmhWdOw_12_5"/>
      <w:bookmarkStart w:id="298" w:name="Tc_HEL_J7G2e0KowjvxTahH2g_12_2"/>
      <w:bookmarkStart w:id="299" w:name="Tc_Fd8Qd2yeGUaysHtuz-z0Aw_12_0"/>
      <w:bookmarkStart w:id="300" w:name="Tc_zC7ecc2th0SQr4p6hzKlJQ_11_19"/>
      <w:bookmarkStart w:id="301" w:name="Tc_7NMhKh5SPEOZih1qlDB25Q_11_13"/>
      <w:bookmarkStart w:id="302" w:name="Tc_Tw9qcywbqUCQE6OuulUYoQ_11_10"/>
      <w:bookmarkStart w:id="303" w:name="Tc_tBrBPuc1ZEuYhG97VPmBQg_11_7"/>
      <w:bookmarkStart w:id="304" w:name="Tc_kW8Yr1FfLk2UQ8asYlVZeQ_11_5"/>
      <w:bookmarkStart w:id="305" w:name="Tc_8fUCipo3lECW_EsTI5o0wA_11_2"/>
      <w:bookmarkStart w:id="306" w:name="Tc_UtWnFzBhJ0imEkvR3YTY3w_11_0"/>
      <w:bookmarkStart w:id="307" w:name="Tc_ytnqXOudS0Ob3CdBCtgFNw_10_19"/>
      <w:bookmarkStart w:id="308" w:name="Tc_29TaV8ePNEmTVEa8j34tGQ_10_13"/>
      <w:bookmarkStart w:id="309" w:name="Tc_cNRDMFmHO0GNnIs8PN6tVQ_10_10"/>
      <w:bookmarkStart w:id="310" w:name="Tc_3IieWai6V02A5rymVTgzNQ_10_7"/>
      <w:bookmarkStart w:id="311" w:name="Tc_E_XVAFfi3k-N4U8Bjh_jgw_10_5"/>
      <w:bookmarkStart w:id="312" w:name="Tc_pT1_R70zz0e6Va_1bzos9A_10_2"/>
      <w:bookmarkStart w:id="313" w:name="Tc_0nq_kC8Sn0aipvNxD-7gjg_10_0"/>
      <w:bookmarkStart w:id="314" w:name="Tc_jyqanAK3kkKXm4e6CDHjQw_9_22"/>
      <w:bookmarkStart w:id="315" w:name="Tc_41ig9ULV-USlPw2GxlurVg_9_19"/>
      <w:bookmarkStart w:id="316" w:name="Tc_3yAPyB_gG0W84UnJlmmg4A_9_16"/>
      <w:bookmarkStart w:id="317" w:name="Tc_EwyC2FTqrUWc62_Cdk9dtQ_9_13"/>
      <w:bookmarkStart w:id="318" w:name="Tc_8tPdD2v0KEipkvm1POUg8w_9_10"/>
      <w:bookmarkStart w:id="319" w:name="Tc_AclGpYfQbU-a-rXRjwHLVw_9_7"/>
      <w:bookmarkStart w:id="320" w:name="Tc_GdheNT6s6U6Fq5B2r2Km7g_9_5"/>
      <w:bookmarkStart w:id="321" w:name="Tc_hY9-VsifbU64WbWEI7FHGA_9_0"/>
      <w:bookmarkStart w:id="322" w:name="Tc_iZi2hwQyWEyLSbMJG2nDwA_8_22"/>
      <w:bookmarkStart w:id="323" w:name="Tc_ahd2hJHVjUSFYSA8f-tgzg_8_19"/>
      <w:bookmarkStart w:id="324" w:name="Tc_kSXX9u3gEU-zu-WEcbJA9g_8_16"/>
      <w:bookmarkStart w:id="325" w:name="Tc_K-FllDIhqk-8DnZHEzW0GA_8_13"/>
      <w:bookmarkStart w:id="326" w:name="Tc_L_khic0qNke0lUWHu66AHg_8_10"/>
      <w:bookmarkStart w:id="327" w:name="Tc_yoLPOWZMSUy44McU68Leig_8_5"/>
      <w:bookmarkStart w:id="328" w:name="Tc_VXDEWVFr7ESaE6TnM4X6zg_8_0"/>
      <w:bookmarkStart w:id="329" w:name="Tc_SqxE_r16ok2wXt48fvL5Kg_7_19"/>
      <w:bookmarkStart w:id="330" w:name="Tc_9cIKst1sP0-UGGNwyMDm-w_7_16"/>
      <w:bookmarkStart w:id="331" w:name="Tc_PMrjiV1ueUuMfcwc-KwVZg_7_10"/>
      <w:bookmarkStart w:id="332" w:name="Tc_AqUSgcSj9kiobay_NgdmYA_7_7"/>
      <w:bookmarkStart w:id="333" w:name="Tc_ZtxpwIx61UOK4NuhobcqbQ_7_5"/>
      <w:bookmarkStart w:id="334" w:name="Tc_6qqRlCvqsUCip_RVSN1KNQ_7_0"/>
      <w:bookmarkStart w:id="335" w:name="Tc__AY94nOEq0yXHy4cAxawjQ_6_19"/>
      <w:bookmarkStart w:id="336" w:name="Tc_Ia7t8AC95k6VGtl5ADhHTg_6_16"/>
      <w:bookmarkStart w:id="337" w:name="Tc_Bip_hgaMykupAgJGjL952w_6_10"/>
      <w:bookmarkStart w:id="338" w:name="Tc_XC36cEkpnke3wF44heFsBQ_6_7"/>
      <w:bookmarkStart w:id="339" w:name="Tc_cKZYZ3hy2Ea3Nie9QTC-0Q_6_5"/>
      <w:bookmarkStart w:id="340" w:name="Tc_90iSVlJvT0WmBXSqkrgqLw_6_2"/>
      <w:bookmarkStart w:id="341" w:name="Tc_gRTvmnuKI0-YhuiGgBkJxg_6_0"/>
      <w:bookmarkStart w:id="342" w:name="Tc_dj_eAAzY9ECKvs4yX_SBSw_5_21"/>
      <w:bookmarkStart w:id="343" w:name="Tc_QNZ2XO3ssECcswRcLrdGog_5_18"/>
      <w:bookmarkStart w:id="344" w:name="Tc_39fDt7Ax90eZERBq5hKE1g_5_15"/>
      <w:bookmarkStart w:id="345" w:name="Tc_224ZzYlNjEylimrbCTKJ4w_5_12"/>
      <w:bookmarkStart w:id="346" w:name="Tc_E-BLLVI0RUCmBIayDW5GfA_5_9"/>
      <w:bookmarkStart w:id="347" w:name="Tc_0VmwTFMzBES_giFFPtDrdw_5_4"/>
      <w:bookmarkStart w:id="348" w:name="Tc_j__82aSt-kebBuqu12eJmg_5_0"/>
      <w:bookmarkStart w:id="349" w:name="Tc_ZW_YCXK38E25c9i4Eln7hQ_4_21"/>
      <w:bookmarkStart w:id="350" w:name="Tc_Zm-VgYyTjUGS2lqYPJEOAg_4_18"/>
      <w:bookmarkStart w:id="351" w:name="Tc_SluNc5OT40anBvOau330rw_4_15"/>
      <w:bookmarkStart w:id="352" w:name="Tc_qE7P2gxSp0KSF4p5t9n-hg_4_12"/>
      <w:bookmarkStart w:id="353" w:name="Tc_GGSeLoKUmkyPnzxNbhjEJw_4_9"/>
      <w:bookmarkStart w:id="354" w:name="Tc_J0uNw2innECY2kzxLKYWtg_4_7"/>
      <w:bookmarkStart w:id="355" w:name="Tc_2gL5BUrMO0qg78ymrt3xxg_4_4"/>
      <w:bookmarkStart w:id="356" w:name="Tc_SixvLDNWE06FbLZgGMp8zA_4_2"/>
      <w:bookmarkStart w:id="357" w:name="Tc_XNF1hNLnGUOkTSYX7bUA2w_3_21"/>
      <w:bookmarkStart w:id="358" w:name="Tc_4T22eYK9DUq6Tfhcll1FeQ_3_18"/>
      <w:bookmarkStart w:id="359" w:name="Tc_D4e4YB0XDEm0mQiwnLdbNA_3_15"/>
      <w:bookmarkStart w:id="360" w:name="Tc_lJX5IcD-m0K_r86ZSV8dNg_3_12"/>
      <w:bookmarkStart w:id="361" w:name="Tc_egPFYt_f2EqJmQHT5V4TdA_3_7"/>
      <w:bookmarkStart w:id="362" w:name="Tc_-uwh-1FDH0GNeBYPEv2XfQ_3_2"/>
      <w:bookmarkStart w:id="363" w:name="Tc_lDXOZnFSA0O3N6nzFT8mEw_2_21"/>
      <w:bookmarkStart w:id="364" w:name="Tc_W7Eh_Phy9UqfikBEcWbHsw_2_15"/>
      <w:bookmarkStart w:id="365" w:name="Tc_68PlhKi6pU2oSxXjr0Zebg_2_12"/>
      <w:bookmarkStart w:id="366" w:name="Tc_pInSYAHCckqHjRrPiccARA_1_15"/>
      <w:bookmarkStart w:id="367" w:name="_096e39d0_71e7_45a9_a497_7bbcc4b93596"/>
      <w:bookmarkStart w:id="368" w:name="Tc_oH392dTmzE-bps1aK8ABSQ_19_21"/>
      <w:bookmarkStart w:id="369" w:name="Tc_eM6HCI40aUmGUwNetiMs0Q_19_18"/>
      <w:bookmarkStart w:id="370" w:name="Tc_3R1-u-zUFkKnl9188Zedog_19_15"/>
      <w:bookmarkStart w:id="371" w:name="Tc_EGl0vzL_zUaiGq0JKvExfw_19_12"/>
      <w:bookmarkStart w:id="372" w:name="Tc_QSYuHIihc0upPNZnHaaiqQ_19_9"/>
      <w:bookmarkStart w:id="373" w:name="Tc_G_bohOGfYEmmjtw1SOqsgQ_19_4"/>
      <w:bookmarkStart w:id="374" w:name="Tc_1AB1JIQj_0u3zTr-CUPdAA_19_0"/>
      <w:bookmarkStart w:id="375" w:name="Tc_-AzAXq-VjUatlT2eCIsAkg_18_16"/>
      <w:bookmarkStart w:id="376" w:name="Tc_uDRdqDLEz0C3HwfjBEsndA_18_13"/>
      <w:bookmarkStart w:id="377" w:name="Tc_6iJUAQSGMESuGvLFuejcZg_18_10"/>
      <w:bookmarkStart w:id="378" w:name="Tc_cxn7M6laQU6Wj75xJjuQ9g_18_7"/>
      <w:bookmarkStart w:id="379" w:name="Tc_tQOLWEQRFEqsLEbDXNDhkQ_18_5"/>
      <w:bookmarkStart w:id="380" w:name="Tc_AFL4UleHR0SZvWx21h2_sQ_18_2"/>
      <w:bookmarkStart w:id="381" w:name="Tc_Jj8S6X0QCUaHt8M-jJUdxA_18_0"/>
      <w:bookmarkStart w:id="382" w:name="Tc_3fxvFwBAr0SDDLveKCf-_A_17_19"/>
      <w:bookmarkStart w:id="383" w:name="Tc_4jgLWAqkR0CwnGP0eff4SQ_17_13"/>
      <w:bookmarkStart w:id="384" w:name="Tc_P91rhxc9M0O2Z5RoHK5KHg_17_10"/>
      <w:bookmarkStart w:id="385" w:name="Tc_bOwyN1uwJEWF6GuWqkxyqw_17_7"/>
      <w:bookmarkStart w:id="386" w:name="Tc_qE-wiGaKs0WYnF712l59oA_17_5"/>
      <w:bookmarkStart w:id="387" w:name="Tc_vYpk3UbfMkKTiLvinpBIVA_17_2"/>
      <w:bookmarkStart w:id="388" w:name="Tc_qEpWbcADZUKBO24XJF9SJQ_17_0"/>
      <w:bookmarkStart w:id="389" w:name="Tc_8U3NGwVClkyPX7mLd9csQg_16_19"/>
      <w:bookmarkStart w:id="390" w:name="Tc_aqpeWfbLU0y_iEwwJvI_Ng_16_13"/>
      <w:bookmarkStart w:id="391" w:name="Tc_5hyRxY8TFk-ZL7Hm4qBNkA_16_10"/>
      <w:bookmarkStart w:id="392" w:name="Tc_fhIYxA6hpkWzN2ZM6mM_Jw_16_7"/>
      <w:bookmarkStart w:id="393" w:name="Tc_opXaWX6jJUWXX5mzprZzfg_16_5"/>
      <w:bookmarkStart w:id="394" w:name="Tc_5BM45cZCukiIOHynHYFK_A_16_2"/>
      <w:bookmarkStart w:id="395" w:name="Tc_3dktBTQX90mOqalA_Oo20w_16_0"/>
      <w:bookmarkStart w:id="396" w:name="Tc_2EVFhg3rfU-rbGolW_c7Sw_15_22"/>
      <w:bookmarkStart w:id="397" w:name="Tc_PUhhlaXzgESojj9fee4IGw_15_19"/>
      <w:bookmarkStart w:id="398" w:name="Tc_7BVTRxksYU6Y1_0FUpBvhw_15_16"/>
      <w:bookmarkStart w:id="399" w:name="Tc_FcSWJ5sTwkWnAME0DoYPZg_15_13"/>
      <w:bookmarkStart w:id="400" w:name="Tc_jKQ51xKAwUSmfxwv91glSA_15_10"/>
      <w:bookmarkStart w:id="401" w:name="Tc_48pXYQ9tNEKSSzzUcHrN8g_15_5"/>
      <w:bookmarkStart w:id="402" w:name="Tc_ZZ72EggqYkCrvSu0tDZh0w_15_0"/>
      <w:bookmarkStart w:id="403" w:name="Tc_sYKb53O60Ui77ma82113XA_14_19"/>
      <w:bookmarkStart w:id="404" w:name="Tc_PcUwtZlL5U2TF73v4N1a-Q_14_16"/>
      <w:bookmarkStart w:id="405" w:name="Tc_vlMJEuAnwUagfXF-nZck7g_14_10"/>
      <w:bookmarkStart w:id="406" w:name="Tc_-sYD_UwIQ0eR_GyNQN0IHg_14_7"/>
      <w:bookmarkStart w:id="407" w:name="Tc_VslflrtGIUeGp5kgR_34Cg_14_5"/>
      <w:bookmarkStart w:id="408" w:name="Tc_zmo_uPOVhE2vc1NgSATDiw_14_2"/>
      <w:bookmarkStart w:id="409" w:name="Tc_O7BcTVv270SA3bZhBwMa3w_14_0"/>
      <w:bookmarkStart w:id="410" w:name="Tc_j2QfoUPCFU25mb048r9Hzg_13_21"/>
      <w:bookmarkStart w:id="411" w:name="Tc_49a2SYDZb0ebLhcyd2dNrQ_13_18"/>
      <w:bookmarkStart w:id="412" w:name="Tc_ULG1mjiQrUa3X7BGcpmlnA_13_15"/>
      <w:bookmarkStart w:id="413" w:name="Tc_goXE_reC7Uu1ouRqX277hw_13_12"/>
      <w:bookmarkStart w:id="414" w:name="Tc_xXJgtOzo50OQqkEo4IF7XQ_13_9"/>
      <w:bookmarkStart w:id="415" w:name="Tc__494MBqS6kyUIkt3dA9shg_13_4"/>
      <w:bookmarkStart w:id="416" w:name="Tc_5KlYMZ7FXUmW8_sFBBZ3Bw_13_0"/>
      <w:bookmarkStart w:id="417" w:name="Tc_EKN1TvOeI0q-AUVnpPsiyg_12_16"/>
      <w:bookmarkStart w:id="418" w:name="Tc_XpqCTw6-fEuA8sCxQVosAw_12_13"/>
      <w:bookmarkStart w:id="419" w:name="Tc_vh9kD_K4UEKsVgSoe8wqhg_12_10"/>
      <w:bookmarkStart w:id="420" w:name="Tc_hCsbwRJMNEmiRP4-y7Wy-w_12_7"/>
      <w:bookmarkStart w:id="421" w:name="Tc_lfl6tB0DF0SVpMKvmhWdOw_12_5"/>
      <w:bookmarkStart w:id="422" w:name="Tc_HEL_J7G2e0KowjvxTahH2g_12_2"/>
      <w:bookmarkStart w:id="423" w:name="Tc_Fd8Qd2yeGUaysHtuz-z0Aw_12_0"/>
      <w:bookmarkStart w:id="424" w:name="Tc_zC7ecc2th0SQr4p6hzKlJQ_11_19"/>
      <w:bookmarkStart w:id="425" w:name="Tc_7NMhKh5SPEOZih1qlDB25Q_11_13"/>
      <w:bookmarkStart w:id="426" w:name="Tc_Tw9qcywbqUCQE6OuulUYoQ_11_10"/>
      <w:bookmarkStart w:id="427" w:name="Tc_tBrBPuc1ZEuYhG97VPmBQg_11_7"/>
      <w:bookmarkStart w:id="428" w:name="Tc_kW8Yr1FfLk2UQ8asYlVZeQ_11_5"/>
      <w:bookmarkStart w:id="429" w:name="Tc_8fUCipo3lECW_EsTI5o0wA_11_2"/>
      <w:bookmarkStart w:id="430" w:name="Tc_UtWnFzBhJ0imEkvR3YTY3w_11_0"/>
      <w:bookmarkStart w:id="431" w:name="Tc_ytnqXOudS0Ob3CdBCtgFNw_10_19"/>
      <w:bookmarkStart w:id="432" w:name="Tc_29TaV8ePNEmTVEa8j34tGQ_10_13"/>
      <w:bookmarkStart w:id="433" w:name="Tc_cNRDMFmHO0GNnIs8PN6tVQ_10_10"/>
      <w:bookmarkStart w:id="434" w:name="Tc_3IieWai6V02A5rymVTgzNQ_10_7"/>
      <w:bookmarkStart w:id="435" w:name="Tc_E_XVAFfi3k-N4U8Bjh_jgw_10_5"/>
      <w:bookmarkStart w:id="436" w:name="Tc_pT1_R70zz0e6Va_1bzos9A_10_2"/>
      <w:bookmarkStart w:id="437" w:name="Tc_0nq_kC8Sn0aipvNxD-7gjg_10_0"/>
      <w:bookmarkStart w:id="438" w:name="Tc_jyqanAK3kkKXm4e6CDHjQw_9_22"/>
      <w:bookmarkStart w:id="439" w:name="Tc_41ig9ULV-USlPw2GxlurVg_9_19"/>
      <w:bookmarkStart w:id="440" w:name="Tc_3yAPyB_gG0W84UnJlmmg4A_9_16"/>
      <w:bookmarkStart w:id="441" w:name="Tc_EwyC2FTqrUWc62_Cdk9dtQ_9_13"/>
      <w:bookmarkStart w:id="442" w:name="Tc_8tPdD2v0KEipkvm1POUg8w_9_10"/>
      <w:bookmarkStart w:id="443" w:name="Tc_AclGpYfQbU-a-rXRjwHLVw_9_7"/>
      <w:bookmarkStart w:id="444" w:name="Tc_GdheNT6s6U6Fq5B2r2Km7g_9_5"/>
      <w:bookmarkStart w:id="445" w:name="Tc_hY9-VsifbU64WbWEI7FHGA_9_0"/>
      <w:bookmarkStart w:id="446" w:name="Tc_iZi2hwQyWEyLSbMJG2nDwA_8_22"/>
      <w:bookmarkStart w:id="447" w:name="Tc_ahd2hJHVjUSFYSA8f-tgzg_8_19"/>
      <w:bookmarkStart w:id="448" w:name="Tc_kSXX9u3gEU-zu-WEcbJA9g_8_16"/>
      <w:bookmarkStart w:id="449" w:name="Tc_K-FllDIhqk-8DnZHEzW0GA_8_13"/>
      <w:bookmarkStart w:id="450" w:name="Tc_L_khic0qNke0lUWHu66AHg_8_10"/>
      <w:bookmarkStart w:id="451" w:name="Tc_yoLPOWZMSUy44McU68Leig_8_5"/>
      <w:bookmarkStart w:id="452" w:name="Tc_VXDEWVFr7ESaE6TnM4X6zg_8_0"/>
      <w:bookmarkStart w:id="453" w:name="Tc_SqxE_r16ok2wXt48fvL5Kg_7_19"/>
      <w:bookmarkStart w:id="454" w:name="Tc_9cIKst1sP0-UGGNwyMDm-w_7_16"/>
      <w:bookmarkStart w:id="455" w:name="Tc_PMrjiV1ueUuMfcwc-KwVZg_7_10"/>
      <w:bookmarkStart w:id="456" w:name="Tc_AqUSgcSj9kiobay_NgdmYA_7_7"/>
      <w:bookmarkStart w:id="457" w:name="Tc_ZtxpwIx61UOK4NuhobcqbQ_7_5"/>
      <w:bookmarkStart w:id="458" w:name="Tc_6qqRlCvqsUCip_RVSN1KNQ_7_0"/>
      <w:bookmarkStart w:id="459" w:name="Tc__AY94nOEq0yXHy4cAxawjQ_6_19"/>
      <w:bookmarkStart w:id="460" w:name="Tc_Ia7t8AC95k6VGtl5ADhHTg_6_16"/>
      <w:bookmarkStart w:id="461" w:name="Tc_Bip_hgaMykupAgJGjL952w_6_10"/>
      <w:bookmarkStart w:id="462" w:name="Tc_XC36cEkpnke3wF44heFsBQ_6_7"/>
      <w:bookmarkStart w:id="463" w:name="Tc_cKZYZ3hy2Ea3Nie9QTC-0Q_6_5"/>
      <w:bookmarkStart w:id="464" w:name="Tc_90iSVlJvT0WmBXSqkrgqLw_6_2"/>
      <w:bookmarkStart w:id="465" w:name="Tc_gRTvmnuKI0-YhuiGgBkJxg_6_0"/>
      <w:bookmarkStart w:id="466" w:name="Tc_dj_eAAzY9ECKvs4yX_SBSw_5_21"/>
      <w:bookmarkStart w:id="467" w:name="Tc_QNZ2XO3ssECcswRcLrdGog_5_18"/>
      <w:bookmarkStart w:id="468" w:name="Tc_39fDt7Ax90eZERBq5hKE1g_5_15"/>
      <w:bookmarkStart w:id="469" w:name="Tc_224ZzYlNjEylimrbCTKJ4w_5_12"/>
      <w:bookmarkStart w:id="470" w:name="Tc_E-BLLVI0RUCmBIayDW5GfA_5_9"/>
      <w:bookmarkStart w:id="471" w:name="Tc_0VmwTFMzBES_giFFPtDrdw_5_4"/>
      <w:bookmarkStart w:id="472" w:name="Tc_j__82aSt-kebBuqu12eJmg_5_0"/>
      <w:bookmarkStart w:id="473" w:name="Tc_ZW_YCXK38E25c9i4Eln7hQ_4_21"/>
      <w:bookmarkStart w:id="474" w:name="Tc_Zm-VgYyTjUGS2lqYPJEOAg_4_18"/>
      <w:bookmarkStart w:id="475" w:name="Tc_SluNc5OT40anBvOau330rw_4_15"/>
      <w:bookmarkStart w:id="476" w:name="Tc_qE7P2gxSp0KSF4p5t9n-hg_4_12"/>
      <w:bookmarkStart w:id="477" w:name="Tc_GGSeLoKUmkyPnzxNbhjEJw_4_9"/>
      <w:bookmarkStart w:id="478" w:name="Tc_J0uNw2innECY2kzxLKYWtg_4_7"/>
      <w:bookmarkStart w:id="479" w:name="Tc_2gL5BUrMO0qg78ymrt3xxg_4_4"/>
      <w:bookmarkStart w:id="480" w:name="Tc_SixvLDNWE06FbLZgGMp8zA_4_2"/>
      <w:bookmarkStart w:id="481" w:name="Tc_XNF1hNLnGUOkTSYX7bUA2w_3_21"/>
      <w:bookmarkStart w:id="482" w:name="Tc_4T22eYK9DUq6Tfhcll1FeQ_3_18"/>
      <w:bookmarkStart w:id="483" w:name="Tc_D4e4YB0XDEm0mQiwnLdbNA_3_15"/>
      <w:bookmarkStart w:id="484" w:name="Tc_lJX5IcD-m0K_r86ZSV8dNg_3_12"/>
      <w:bookmarkStart w:id="485" w:name="Tc_egPFYt_f2EqJmQHT5V4TdA_3_7"/>
      <w:bookmarkStart w:id="486" w:name="Tc_-uwh-1FDH0GNeBYPEv2XfQ_3_2"/>
      <w:bookmarkStart w:id="487" w:name="Tc_lDXOZnFSA0O3N6nzFT8mEw_2_21"/>
      <w:bookmarkStart w:id="488" w:name="Tc_W7Eh_Phy9UqfikBEcWbHsw_2_15"/>
      <w:bookmarkStart w:id="489" w:name="Tc_68PlhKi6pU2oSxXjr0Zebg_2_12"/>
      <w:bookmarkStart w:id="490" w:name="Tc_pInSYAHCckqHjRrPiccARA_1_15"/>
      <w:bookmarkStart w:id="491" w:name="_096e39d0_71e7_45a9_a497_7bbcc4b93596"/>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tbl>
      <w:tblPr>
        <w:tblW w:w="10205" w:type="dxa"/>
        <w:jc w:val="left"/>
        <w:tblInd w:w="0" w:type="dxa"/>
        <w:tblLayout w:type="fixed"/>
        <w:tblCellMar>
          <w:top w:w="0" w:type="dxa"/>
          <w:left w:w="0" w:type="dxa"/>
          <w:bottom w:w="0" w:type="dxa"/>
          <w:right w:w="0" w:type="dxa"/>
        </w:tblCellMar>
      </w:tblPr>
      <w:tblGrid>
        <w:gridCol w:w="1607"/>
        <w:gridCol w:w="146"/>
        <w:gridCol w:w="916"/>
        <w:gridCol w:w="346"/>
        <w:gridCol w:w="228"/>
        <w:gridCol w:w="403"/>
        <w:gridCol w:w="146"/>
        <w:gridCol w:w="916"/>
        <w:gridCol w:w="346"/>
        <w:gridCol w:w="228"/>
        <w:gridCol w:w="403"/>
        <w:gridCol w:w="146"/>
        <w:gridCol w:w="196"/>
        <w:gridCol w:w="691"/>
        <w:gridCol w:w="146"/>
        <w:gridCol w:w="303"/>
        <w:gridCol w:w="793"/>
        <w:gridCol w:w="146"/>
        <w:gridCol w:w="196"/>
        <w:gridCol w:w="759"/>
        <w:gridCol w:w="146"/>
        <w:gridCol w:w="198"/>
        <w:gridCol w:w="800"/>
      </w:tblGrid>
      <w:tr>
        <w:trPr/>
        <w:tc>
          <w:tcPr>
            <w:tcW w:w="1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20445" cy="175260"/>
                      <wp:effectExtent l="0" t="0" r="0" b="0"/>
                      <wp:wrapNone/>
                      <wp:docPr id="26" name="Frame26"/>
                      <a:graphic xmlns:a="http://schemas.openxmlformats.org/drawingml/2006/main">
                        <a:graphicData uri="http://schemas.microsoft.com/office/word/2010/wordprocessingShape">
                          <wps:wsp>
                            <wps:cNvSpPr txBox="1"/>
                            <wps:spPr>
                              <a:xfrm>
                                <a:off x="0" y="0"/>
                                <a:ext cx="1020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175260"/>
                      <wp:effectExtent l="0" t="0" r="0" b="0"/>
                      <wp:wrapNone/>
                      <wp:docPr id="28" name="Frame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4780" cy="175260"/>
                      <wp:effectExtent l="0" t="0" r="0" b="0"/>
                      <wp:wrapNone/>
                      <wp:docPr id="30" name="Frame3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5905" cy="175260"/>
                      <wp:effectExtent l="0" t="0" r="0" b="0"/>
                      <wp:wrapNone/>
                      <wp:docPr id="31" name="Frame3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710" cy="175260"/>
                      <wp:effectExtent l="0" t="0" r="0" b="0"/>
                      <wp:wrapNone/>
                      <wp:docPr id="32" name="Frame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81660" cy="175260"/>
                      <wp:effectExtent l="0" t="0" r="0" b="0"/>
                      <wp:wrapNone/>
                      <wp:docPr id="33" name="Frame3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4780" cy="175260"/>
                      <wp:effectExtent l="0" t="0" r="0" b="0"/>
                      <wp:wrapNone/>
                      <wp:docPr id="35" name="Frame3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55905" cy="175260"/>
                      <wp:effectExtent l="0" t="0" r="0" b="0"/>
                      <wp:wrapNone/>
                      <wp:docPr id="36" name="Frame3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2710" cy="175260"/>
                      <wp:effectExtent l="0" t="0" r="0" b="0"/>
                      <wp:wrapNone/>
                      <wp:docPr id="37" name="Frame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2710" cy="175260"/>
                      <wp:effectExtent l="0" t="0" r="0" b="0"/>
                      <wp:wrapNone/>
                      <wp:docPr id="40" name="Frame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92405" cy="175260"/>
                      <wp:effectExtent l="0" t="0" r="0" b="0"/>
                      <wp:wrapNone/>
                      <wp:docPr id="41" name="Frame4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3555" cy="175260"/>
                      <wp:effectExtent l="0" t="0" r="0" b="0"/>
                      <wp:wrapNone/>
                      <wp:docPr id="42" name="Frame4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43" name="Frame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81965" cy="175260"/>
                      <wp:effectExtent l="0" t="0" r="0" b="0"/>
                      <wp:wrapNone/>
                      <wp:docPr id="45" name="Frame4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2710" cy="175260"/>
                      <wp:effectExtent l="0" t="0" r="0" b="0"/>
                      <wp:wrapNone/>
                      <wp:docPr id="46" name="Frame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5730" cy="175260"/>
                      <wp:effectExtent l="0" t="0" r="0" b="0"/>
                      <wp:wrapNone/>
                      <wp:docPr id="47" name="Frame4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8000" cy="175260"/>
                      <wp:effectExtent l="0" t="0" r="0" b="0"/>
                      <wp:wrapNone/>
                      <wp:docPr id="48" name="Frame4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Exchangeable Shares</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81,771,422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418,815</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(124,625)</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295,406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upon exercise of options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140,815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private placement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c>
          <w:tcPr>
            <w:tcW w:w="146" w:type="dxa"/>
            <w:tcBorders/>
            <w:vAlign w:val="center"/>
          </w:tcPr>
          <w:p>
            <w:pPr>
              <w:pStyle w:val="TableContents"/>
              <w:bidi w:val="0"/>
              <w:spacing w:before="0" w:after="1"/>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82,242,434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23,692,820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421,734</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(135,128)</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288,596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82,718,567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23,216,687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424,620</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(144,527)</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52" w:hanging="0"/>
              <w:jc w:val="right"/>
              <w:rPr>
                <w:rFonts w:ascii="Times New Roman;Times;serif" w:hAnsi="Times New Roman;Times;serif"/>
                <w:sz w:val="16"/>
              </w:rPr>
            </w:pPr>
            <w:r>
              <w:rPr>
                <w:rFonts w:ascii="Times New Roman;Times;serif" w:hAnsi="Times New Roman;Times;serif"/>
                <w:sz w:val="16"/>
              </w:rPr>
              <w:t>281,654</w:t>
            </w:r>
          </w:p>
        </w:tc>
      </w:tr>
    </w:tbl>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92" w:name="Tc_deZCOJcKU0qQbFOgyJMX0A_14_22"/>
      <w:bookmarkStart w:id="493" w:name="Tc_mJtD0QF_NkCBb7Z_j8-Xxg_14_19"/>
      <w:bookmarkStart w:id="494" w:name="Tc_rCstTja2r0Ktu_lLvB9MHg_14_16"/>
      <w:bookmarkStart w:id="495" w:name="Tc_-LXGUJcpxU2F87L3HDd6Yg_14_13"/>
      <w:bookmarkStart w:id="496" w:name="Tc_j-6XjEjb0kSJzJUXln8IRA_14_10"/>
      <w:bookmarkStart w:id="497" w:name="Tc_gWgo05OptkS4maClk1t4wA_14_5"/>
      <w:bookmarkStart w:id="498" w:name="Tc_Bgm4BTlRbk6UIjQmAZdgdA_14_0"/>
      <w:bookmarkStart w:id="499" w:name="Tc_AsNJ6BL7ak-gz9DAjFTU_Q_13_17"/>
      <w:bookmarkStart w:id="500" w:name="Tc_PTQVQjcN_U6s2gIIAmppIw_13_14"/>
      <w:bookmarkStart w:id="501" w:name="Tc_X2remYS-zEa-uy0U94n1zw_13_11"/>
      <w:bookmarkStart w:id="502" w:name="Tc_w1ehRjZ8lkyw_ifzQJIxIw_13_8"/>
      <w:bookmarkStart w:id="503" w:name="Tc_1l9vrLGUcE2PPELXCHVNgQ_13_6"/>
      <w:bookmarkStart w:id="504" w:name="Tc_LjYE9Pfwx06sAT-xSJwNDA_13_3"/>
      <w:bookmarkStart w:id="505" w:name="Tc_oxRSXSbAlUyZi2h02mIUEg_13_0"/>
      <w:bookmarkStart w:id="506" w:name="Tc_olg1BWqCdEui7ceu4-I8zw_12_20"/>
      <w:bookmarkStart w:id="507" w:name="Tc_iZP7zf5rZU65_8u2MeLrFw_12_14"/>
      <w:bookmarkStart w:id="508" w:name="Tc_dAbdWCTKvkK_ehI2xbMAGg_12_11"/>
      <w:bookmarkStart w:id="509" w:name="Tc_gK392ExWZUKc1sS78BPB5w_12_8"/>
      <w:bookmarkStart w:id="510" w:name="Tc_1VZEIQkAK02GbhjXOP1tGw_12_6"/>
      <w:bookmarkStart w:id="511" w:name="Tc_dcHUvRRki0aLzczjbJhLjQ_12_3"/>
      <w:bookmarkStart w:id="512" w:name="Tc_7mIljAgBu0GZMhmnLqGWrA_12_0"/>
      <w:bookmarkStart w:id="513" w:name="Tc_FXchrHmfYU2g2bATqUbRww_11_20"/>
      <w:bookmarkStart w:id="514" w:name="Tc_JBEHxXWzg0mCWK_mPLz7mw_11_17"/>
      <w:bookmarkStart w:id="515" w:name="Tc_eehv4ujCp0uGgmJmVYhS8w_11_11"/>
      <w:bookmarkStart w:id="516" w:name="Tc_dyk43Oz5REyBPIrSg3pP5w_11_8"/>
      <w:bookmarkStart w:id="517" w:name="Tc_NCNkIuiCOkWBweKDk7_-8Q_11_6"/>
      <w:bookmarkStart w:id="518" w:name="Tc_Ej56gw7jYk2aSsm1cTr94A_11_3"/>
      <w:bookmarkStart w:id="519" w:name="Tc_qPZzniIWE0CPc8DGrLhvKQ_11_0"/>
      <w:bookmarkStart w:id="520" w:name="Tc_NsAsrDkLT0-bHvSnk6_Zlw_10_22"/>
      <w:bookmarkStart w:id="521" w:name="Tc_F8nh8sCOXEGnIUMhiH2Wkg_10_19"/>
      <w:bookmarkStart w:id="522" w:name="Tc_Cly2ibDg20WlPYxzVNrmAw_10_16"/>
      <w:bookmarkStart w:id="523" w:name="Tc_HJ2x1rC8JUmrjnXBZF6eTw_10_13"/>
      <w:bookmarkStart w:id="524" w:name="Tc_Bd57XzUxjU2zhb7m7i1Fuw_10_10"/>
      <w:bookmarkStart w:id="525" w:name="Tc_ObqY-ncJOk6tYfxPAks-CA_10_5"/>
      <w:bookmarkStart w:id="526" w:name="Tc_INlAi2Z9-EmAaWEiWEeooQ_10_0"/>
      <w:bookmarkStart w:id="527" w:name="Tc_9xBQlFq3tEOICAHE1FNs0w_9_17"/>
      <w:bookmarkStart w:id="528" w:name="Tc_rIxel9rYhU-TUDpZnS6dMw_9_14"/>
      <w:bookmarkStart w:id="529" w:name="Tc_ZoTFkR6rtk-aDJgwD074pg_9_11"/>
      <w:bookmarkStart w:id="530" w:name="Tc_gb8vt-zwNk6_GZEBhkyfAw_9_8"/>
      <w:bookmarkStart w:id="531" w:name="Tc_3DlDDPI0RUmrtSJ02vuoRQ_9_6"/>
      <w:bookmarkStart w:id="532" w:name="Tc_8Xz5fGUcJUaf34Eo6QfcLQ_9_3"/>
      <w:bookmarkStart w:id="533" w:name="Tc_HSTjWAeVzU6heRdBAO19EA_9_0"/>
      <w:bookmarkStart w:id="534" w:name="Tc_yCqDL8rIpUq4uPhrn9Vh7w_8_20"/>
      <w:bookmarkStart w:id="535" w:name="Tc_JB0kGJ5qs0m2sYz6H6ArVQ_8_14"/>
      <w:bookmarkStart w:id="536" w:name="Tc_q4FVJiate0e2t3AlxagIkg_8_11"/>
      <w:bookmarkStart w:id="537" w:name="Tc_mk6TkxbEVkSpB5lyycPJlw_8_8"/>
      <w:bookmarkStart w:id="538" w:name="Tc_ppuEZ53kXEKuE24E9EBicA_8_6"/>
      <w:bookmarkStart w:id="539" w:name="Tc_FOJt7fCDj0C9YOyslzXztA_8_3"/>
      <w:bookmarkStart w:id="540" w:name="Tc_f3x23pFgZECGcxhrUpjZpA_8_0"/>
      <w:bookmarkStart w:id="541" w:name="Tc_hroCI-J7jkqn5br1F7u3-w_7_20"/>
      <w:bookmarkStart w:id="542" w:name="Tc_gNNiv9mJdUWCH_VDpVtRHw_7_17"/>
      <w:bookmarkStart w:id="543" w:name="Tc_oGHsBR37lkqOP1NkGVFmnQ_7_11"/>
      <w:bookmarkStart w:id="544" w:name="Tc__99umRSMnkKwgBZhFuR1LA_7_8"/>
      <w:bookmarkStart w:id="545" w:name="Tc_oVLooG90skKMmiQ9eYAuhA_7_6"/>
      <w:bookmarkStart w:id="546" w:name="Tc_Y3mEXeCDIkmFQQ4kNk7VRA_7_3"/>
      <w:bookmarkStart w:id="547" w:name="Tc_g4OPC3r2QUumKlpP7HGKDw_7_0"/>
      <w:bookmarkStart w:id="548" w:name="Tc_qypDmltW8UOwQ7S0yd8L9A_6_20"/>
      <w:bookmarkStart w:id="549" w:name="Tc_uoqgl3AypU-llJNUgKsSxA_6_17"/>
      <w:bookmarkStart w:id="550" w:name="Tc_H2xWMyWmp0iUyPjM85qNyQ_6_11"/>
      <w:bookmarkStart w:id="551" w:name="Tc_tOJtg6_9pE-JuEbSOkIOiA_6_8"/>
      <w:bookmarkStart w:id="552" w:name="Tc_ZIdrlOnGvUCWUJzCBQDkNQ_6_6"/>
      <w:bookmarkStart w:id="553" w:name="Tc_fZkPfZ0QeEuyHpBgB0tGxw_6_3"/>
      <w:bookmarkStart w:id="554" w:name="Tc_DoKqcV0cSESpa24ZNKBr2g_6_0"/>
      <w:bookmarkStart w:id="555" w:name="Tc_WXbtuxduu0yt7aDzTeh1yA_5_22"/>
      <w:bookmarkStart w:id="556" w:name="Tc_lar4By7Dz0G8F2YdzFNtLA_5_19"/>
      <w:bookmarkStart w:id="557" w:name="Tc_ma4waEb7RE6PsKLzAmpWoQ_5_16"/>
      <w:bookmarkStart w:id="558" w:name="Tc_nPpWJA3dUky4aSGYoUTcbw_5_13"/>
      <w:bookmarkStart w:id="559" w:name="Tc_Qt0qIwDs5UWqPDuixH-txw_5_10"/>
      <w:bookmarkStart w:id="560" w:name="Tc_gDFOpQ6G3E6D2v8gfnOboQ_5_5"/>
      <w:bookmarkStart w:id="561" w:name="Tc_okpzyaEy4U2DoP-KDEC0WA_5_0"/>
      <w:bookmarkStart w:id="562" w:name="Tc_736CV1J0W0Cw2j5WtpV4dw_4_22"/>
      <w:bookmarkStart w:id="563" w:name="Tc_-QOX1qH9BkWaPAOAmljkkA_4_19"/>
      <w:bookmarkStart w:id="564" w:name="Tc_j6mC13sKsEuuc0gm3aFx8A_4_16"/>
      <w:bookmarkStart w:id="565" w:name="Tc_NERQDo-WMEGesfJxyVoENg_4_13"/>
      <w:bookmarkStart w:id="566" w:name="Tc_gtpNrHQR3UG7QbZztlv-JA_4_10"/>
      <w:bookmarkStart w:id="567" w:name="Tc_lmexaNjAi0e7gVNlTaA3Uw_4_8"/>
      <w:bookmarkStart w:id="568" w:name="Tc_un95d8bxg06ttI6_H8yw2A_4_5"/>
      <w:bookmarkStart w:id="569" w:name="Tc_GVM1PLwml0y_-gCPu-DnZQ_4_3"/>
      <w:bookmarkStart w:id="570" w:name="Tc_xHA5zE-AREKnJA9NUAfBKA_3_22"/>
      <w:bookmarkStart w:id="571" w:name="Tc_tGwyO-emAke4l-FjRzw9cw_3_19"/>
      <w:bookmarkStart w:id="572" w:name="Tc_2rw6lxarMUKcRF1K-pxbWA_3_16"/>
      <w:bookmarkStart w:id="573" w:name="Tc_D0xSr-uSmUeRT-t8gIukjg_3_13"/>
      <w:bookmarkStart w:id="574" w:name="Tc_W-f1lG3QNk253bq_zu4Tsg_3_8"/>
      <w:bookmarkStart w:id="575" w:name="Tc_K1gbfJ5SrEODGZidRtc1yw_3_3"/>
      <w:bookmarkStart w:id="576" w:name="Tc_tvsgvhPnEUuJwHPHRrplaQ_2_22"/>
      <w:bookmarkStart w:id="577" w:name="Tc_AKU8ot8lwESO4hb7A2lVkw_2_16"/>
      <w:bookmarkStart w:id="578" w:name="Tc_EWJIKXJiXEG-Tq_SEFyOgg_2_13"/>
      <w:bookmarkStart w:id="579" w:name="Tc_FnMrjmnZjE6NzjDs9b854g_1_16"/>
      <w:bookmarkStart w:id="580" w:name="_74b19ee5_4a79_48f2_9024_fe610bfa48f3"/>
      <w:bookmarkStart w:id="581" w:name="Tc_deZCOJcKU0qQbFOgyJMX0A_14_22"/>
      <w:bookmarkStart w:id="582" w:name="Tc_mJtD0QF_NkCBb7Z_j8-Xxg_14_19"/>
      <w:bookmarkStart w:id="583" w:name="Tc_rCstTja2r0Ktu_lLvB9MHg_14_16"/>
      <w:bookmarkStart w:id="584" w:name="Tc_-LXGUJcpxU2F87L3HDd6Yg_14_13"/>
      <w:bookmarkStart w:id="585" w:name="Tc_j-6XjEjb0kSJzJUXln8IRA_14_10"/>
      <w:bookmarkStart w:id="586" w:name="Tc_gWgo05OptkS4maClk1t4wA_14_5"/>
      <w:bookmarkStart w:id="587" w:name="Tc_Bgm4BTlRbk6UIjQmAZdgdA_14_0"/>
      <w:bookmarkStart w:id="588" w:name="Tc_AsNJ6BL7ak-gz9DAjFTU_Q_13_17"/>
      <w:bookmarkStart w:id="589" w:name="Tc_PTQVQjcN_U6s2gIIAmppIw_13_14"/>
      <w:bookmarkStart w:id="590" w:name="Tc_X2remYS-zEa-uy0U94n1zw_13_11"/>
      <w:bookmarkStart w:id="591" w:name="Tc_w1ehRjZ8lkyw_ifzQJIxIw_13_8"/>
      <w:bookmarkStart w:id="592" w:name="Tc_1l9vrLGUcE2PPELXCHVNgQ_13_6"/>
      <w:bookmarkStart w:id="593" w:name="Tc_LjYE9Pfwx06sAT-xSJwNDA_13_3"/>
      <w:bookmarkStart w:id="594" w:name="Tc_oxRSXSbAlUyZi2h02mIUEg_13_0"/>
      <w:bookmarkStart w:id="595" w:name="Tc_olg1BWqCdEui7ceu4-I8zw_12_20"/>
      <w:bookmarkStart w:id="596" w:name="Tc_iZP7zf5rZU65_8u2MeLrFw_12_14"/>
      <w:bookmarkStart w:id="597" w:name="Tc_dAbdWCTKvkK_ehI2xbMAGg_12_11"/>
      <w:bookmarkStart w:id="598" w:name="Tc_gK392ExWZUKc1sS78BPB5w_12_8"/>
      <w:bookmarkStart w:id="599" w:name="Tc_1VZEIQkAK02GbhjXOP1tGw_12_6"/>
      <w:bookmarkStart w:id="600" w:name="Tc_dcHUvRRki0aLzczjbJhLjQ_12_3"/>
      <w:bookmarkStart w:id="601" w:name="Tc_7mIljAgBu0GZMhmnLqGWrA_12_0"/>
      <w:bookmarkStart w:id="602" w:name="Tc_FXchrHmfYU2g2bATqUbRww_11_20"/>
      <w:bookmarkStart w:id="603" w:name="Tc_JBEHxXWzg0mCWK_mPLz7mw_11_17"/>
      <w:bookmarkStart w:id="604" w:name="Tc_eehv4ujCp0uGgmJmVYhS8w_11_11"/>
      <w:bookmarkStart w:id="605" w:name="Tc_dyk43Oz5REyBPIrSg3pP5w_11_8"/>
      <w:bookmarkStart w:id="606" w:name="Tc_NCNkIuiCOkWBweKDk7_-8Q_11_6"/>
      <w:bookmarkStart w:id="607" w:name="Tc_Ej56gw7jYk2aSsm1cTr94A_11_3"/>
      <w:bookmarkStart w:id="608" w:name="Tc_qPZzniIWE0CPc8DGrLhvKQ_11_0"/>
      <w:bookmarkStart w:id="609" w:name="Tc_NsAsrDkLT0-bHvSnk6_Zlw_10_22"/>
      <w:bookmarkStart w:id="610" w:name="Tc_F8nh8sCOXEGnIUMhiH2Wkg_10_19"/>
      <w:bookmarkStart w:id="611" w:name="Tc_Cly2ibDg20WlPYxzVNrmAw_10_16"/>
      <w:bookmarkStart w:id="612" w:name="Tc_HJ2x1rC8JUmrjnXBZF6eTw_10_13"/>
      <w:bookmarkStart w:id="613" w:name="Tc_Bd57XzUxjU2zhb7m7i1Fuw_10_10"/>
      <w:bookmarkStart w:id="614" w:name="Tc_ObqY-ncJOk6tYfxPAks-CA_10_5"/>
      <w:bookmarkStart w:id="615" w:name="Tc_INlAi2Z9-EmAaWEiWEeooQ_10_0"/>
      <w:bookmarkStart w:id="616" w:name="Tc_9xBQlFq3tEOICAHE1FNs0w_9_17"/>
      <w:bookmarkStart w:id="617" w:name="Tc_rIxel9rYhU-TUDpZnS6dMw_9_14"/>
      <w:bookmarkStart w:id="618" w:name="Tc_ZoTFkR6rtk-aDJgwD074pg_9_11"/>
      <w:bookmarkStart w:id="619" w:name="Tc_gb8vt-zwNk6_GZEBhkyfAw_9_8"/>
      <w:bookmarkStart w:id="620" w:name="Tc_3DlDDPI0RUmrtSJ02vuoRQ_9_6"/>
      <w:bookmarkStart w:id="621" w:name="Tc_8Xz5fGUcJUaf34Eo6QfcLQ_9_3"/>
      <w:bookmarkStart w:id="622" w:name="Tc_HSTjWAeVzU6heRdBAO19EA_9_0"/>
      <w:bookmarkStart w:id="623" w:name="Tc_yCqDL8rIpUq4uPhrn9Vh7w_8_20"/>
      <w:bookmarkStart w:id="624" w:name="Tc_JB0kGJ5qs0m2sYz6H6ArVQ_8_14"/>
      <w:bookmarkStart w:id="625" w:name="Tc_q4FVJiate0e2t3AlxagIkg_8_11"/>
      <w:bookmarkStart w:id="626" w:name="Tc_mk6TkxbEVkSpB5lyycPJlw_8_8"/>
      <w:bookmarkStart w:id="627" w:name="Tc_ppuEZ53kXEKuE24E9EBicA_8_6"/>
      <w:bookmarkStart w:id="628" w:name="Tc_FOJt7fCDj0C9YOyslzXztA_8_3"/>
      <w:bookmarkStart w:id="629" w:name="Tc_f3x23pFgZECGcxhrUpjZpA_8_0"/>
      <w:bookmarkStart w:id="630" w:name="Tc_hroCI-J7jkqn5br1F7u3-w_7_20"/>
      <w:bookmarkStart w:id="631" w:name="Tc_gNNiv9mJdUWCH_VDpVtRHw_7_17"/>
      <w:bookmarkStart w:id="632" w:name="Tc_oGHsBR37lkqOP1NkGVFmnQ_7_11"/>
      <w:bookmarkStart w:id="633" w:name="Tc__99umRSMnkKwgBZhFuR1LA_7_8"/>
      <w:bookmarkStart w:id="634" w:name="Tc_oVLooG90skKMmiQ9eYAuhA_7_6"/>
      <w:bookmarkStart w:id="635" w:name="Tc_Y3mEXeCDIkmFQQ4kNk7VRA_7_3"/>
      <w:bookmarkStart w:id="636" w:name="Tc_g4OPC3r2QUumKlpP7HGKDw_7_0"/>
      <w:bookmarkStart w:id="637" w:name="Tc_qypDmltW8UOwQ7S0yd8L9A_6_20"/>
      <w:bookmarkStart w:id="638" w:name="Tc_uoqgl3AypU-llJNUgKsSxA_6_17"/>
      <w:bookmarkStart w:id="639" w:name="Tc_H2xWMyWmp0iUyPjM85qNyQ_6_11"/>
      <w:bookmarkStart w:id="640" w:name="Tc_tOJtg6_9pE-JuEbSOkIOiA_6_8"/>
      <w:bookmarkStart w:id="641" w:name="Tc_ZIdrlOnGvUCWUJzCBQDkNQ_6_6"/>
      <w:bookmarkStart w:id="642" w:name="Tc_fZkPfZ0QeEuyHpBgB0tGxw_6_3"/>
      <w:bookmarkStart w:id="643" w:name="Tc_DoKqcV0cSESpa24ZNKBr2g_6_0"/>
      <w:bookmarkStart w:id="644" w:name="Tc_WXbtuxduu0yt7aDzTeh1yA_5_22"/>
      <w:bookmarkStart w:id="645" w:name="Tc_lar4By7Dz0G8F2YdzFNtLA_5_19"/>
      <w:bookmarkStart w:id="646" w:name="Tc_ma4waEb7RE6PsKLzAmpWoQ_5_16"/>
      <w:bookmarkStart w:id="647" w:name="Tc_nPpWJA3dUky4aSGYoUTcbw_5_13"/>
      <w:bookmarkStart w:id="648" w:name="Tc_Qt0qIwDs5UWqPDuixH-txw_5_10"/>
      <w:bookmarkStart w:id="649" w:name="Tc_gDFOpQ6G3E6D2v8gfnOboQ_5_5"/>
      <w:bookmarkStart w:id="650" w:name="Tc_okpzyaEy4U2DoP-KDEC0WA_5_0"/>
      <w:bookmarkStart w:id="651" w:name="Tc_736CV1J0W0Cw2j5WtpV4dw_4_22"/>
      <w:bookmarkStart w:id="652" w:name="Tc_-QOX1qH9BkWaPAOAmljkkA_4_19"/>
      <w:bookmarkStart w:id="653" w:name="Tc_j6mC13sKsEuuc0gm3aFx8A_4_16"/>
      <w:bookmarkStart w:id="654" w:name="Tc_NERQDo-WMEGesfJxyVoENg_4_13"/>
      <w:bookmarkStart w:id="655" w:name="Tc_gtpNrHQR3UG7QbZztlv-JA_4_10"/>
      <w:bookmarkStart w:id="656" w:name="Tc_lmexaNjAi0e7gVNlTaA3Uw_4_8"/>
      <w:bookmarkStart w:id="657" w:name="Tc_un95d8bxg06ttI6_H8yw2A_4_5"/>
      <w:bookmarkStart w:id="658" w:name="Tc_GVM1PLwml0y_-gCPu-DnZQ_4_3"/>
      <w:bookmarkStart w:id="659" w:name="Tc_xHA5zE-AREKnJA9NUAfBKA_3_22"/>
      <w:bookmarkStart w:id="660" w:name="Tc_tGwyO-emAke4l-FjRzw9cw_3_19"/>
      <w:bookmarkStart w:id="661" w:name="Tc_2rw6lxarMUKcRF1K-pxbWA_3_16"/>
      <w:bookmarkStart w:id="662" w:name="Tc_D0xSr-uSmUeRT-t8gIukjg_3_13"/>
      <w:bookmarkStart w:id="663" w:name="Tc_W-f1lG3QNk253bq_zu4Tsg_3_8"/>
      <w:bookmarkStart w:id="664" w:name="Tc_K1gbfJ5SrEODGZidRtc1yw_3_3"/>
      <w:bookmarkStart w:id="665" w:name="Tc_tvsgvhPnEUuJwHPHRrplaQ_2_22"/>
      <w:bookmarkStart w:id="666" w:name="Tc_AKU8ot8lwESO4hb7A2lVkw_2_16"/>
      <w:bookmarkStart w:id="667" w:name="Tc_EWJIKXJiXEG-Tq_SEFyOgg_2_13"/>
      <w:bookmarkStart w:id="668" w:name="Tc_FnMrjmnZjE6NzjDs9b854g_1_16"/>
      <w:bookmarkStart w:id="669" w:name="_74b19ee5_4a79_48f2_9024_fe610bfa48f3"/>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tbl>
      <w:tblPr>
        <w:tblW w:w="10205" w:type="dxa"/>
        <w:jc w:val="left"/>
        <w:tblInd w:w="0" w:type="dxa"/>
        <w:tblLayout w:type="fixed"/>
        <w:tblCellMar>
          <w:top w:w="0" w:type="dxa"/>
          <w:left w:w="0" w:type="dxa"/>
          <w:bottom w:w="0" w:type="dxa"/>
          <w:right w:w="0" w:type="dxa"/>
        </w:tblCellMar>
      </w:tblPr>
      <w:tblGrid>
        <w:gridCol w:w="2311"/>
        <w:gridCol w:w="146"/>
        <w:gridCol w:w="146"/>
        <w:gridCol w:w="766"/>
        <w:gridCol w:w="346"/>
        <w:gridCol w:w="196"/>
        <w:gridCol w:w="375"/>
        <w:gridCol w:w="146"/>
        <w:gridCol w:w="766"/>
        <w:gridCol w:w="346"/>
        <w:gridCol w:w="196"/>
        <w:gridCol w:w="375"/>
        <w:gridCol w:w="109"/>
        <w:gridCol w:w="196"/>
        <w:gridCol w:w="555"/>
        <w:gridCol w:w="109"/>
        <w:gridCol w:w="331"/>
        <w:gridCol w:w="690"/>
        <w:gridCol w:w="109"/>
        <w:gridCol w:w="194"/>
        <w:gridCol w:w="677"/>
        <w:gridCol w:w="109"/>
        <w:gridCol w:w="233"/>
        <w:gridCol w:w="77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67485" cy="175260"/>
                      <wp:effectExtent l="0" t="0" r="0" b="0"/>
                      <wp:wrapNone/>
                      <wp:docPr id="49" name="Frame4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2710" cy="175260"/>
                      <wp:effectExtent l="0" t="0" r="0" b="0"/>
                      <wp:wrapNone/>
                      <wp:docPr id="50" name="Frame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86410" cy="175260"/>
                      <wp:effectExtent l="0" t="0" r="0" b="0"/>
                      <wp:wrapNone/>
                      <wp:docPr id="52" name="Frame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125" cy="175260"/>
                      <wp:effectExtent l="0" t="0" r="0" b="0"/>
                      <wp:wrapNone/>
                      <wp:docPr id="55" name="Frame5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710" cy="175260"/>
                      <wp:effectExtent l="0" t="0" r="0" b="0"/>
                      <wp:wrapNone/>
                      <wp:docPr id="56"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86410" cy="175260"/>
                      <wp:effectExtent l="0" t="0" r="0" b="0"/>
                      <wp:wrapNone/>
                      <wp:docPr id="57" name="Frame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8125" cy="175260"/>
                      <wp:effectExtent l="0" t="0" r="0" b="0"/>
                      <wp:wrapNone/>
                      <wp:docPr id="60" name="Frame6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52425" cy="175260"/>
                      <wp:effectExtent l="0" t="0" r="0" b="0"/>
                      <wp:wrapNone/>
                      <wp:docPr id="63" name="Frame6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185" cy="175260"/>
                      <wp:effectExtent l="0" t="0" r="0" b="0"/>
                      <wp:wrapNone/>
                      <wp:docPr id="65" name="Frame6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150" cy="175260"/>
                      <wp:effectExtent l="0" t="0" r="0" b="0"/>
                      <wp:wrapNone/>
                      <wp:docPr id="66" name="Frame6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3190" cy="175260"/>
                      <wp:effectExtent l="0" t="0" r="0" b="0"/>
                      <wp:wrapNone/>
                      <wp:docPr id="68" name="Frame6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9895" cy="175260"/>
                      <wp:effectExtent l="0" t="0" r="0" b="0"/>
                      <wp:wrapNone/>
                      <wp:docPr id="69" name="Frame6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7955" cy="175260"/>
                      <wp:effectExtent l="0" t="0" r="0" b="0"/>
                      <wp:wrapNone/>
                      <wp:docPr id="71" name="Frame7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4030" cy="175260"/>
                      <wp:effectExtent l="0" t="0" r="0" b="0"/>
                      <wp:wrapNone/>
                      <wp:docPr id="72" name="Frame7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Shares</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Exchangeable 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January 1, 2025, as recast</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82,774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(96,608)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(13,491)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connection with convertible notes, net of tax</w:t>
            </w:r>
          </w:p>
        </w:tc>
        <w:tc>
          <w:tcPr>
            <w:tcW w:w="1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85,549</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(102,860)</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(17,795)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85,763</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(109,109)</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(23,268)</w:t>
            </w:r>
          </w:p>
        </w:tc>
      </w:tr>
    </w:tbl>
    <w:p>
      <w:pPr>
        <w:pStyle w:val="TextBody"/>
        <w:bidi w:val="0"/>
        <w:spacing w:before="0" w:after="240"/>
        <w:ind w:left="36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The shares of the Company’s common stock prior to the Recapitalization have been retrospectively recast to reflect the change in the capital structure as a result of the Recapitalization as described in Note 1.</w:t>
      </w:r>
    </w:p>
    <w:p>
      <w:pPr>
        <w:pStyle w:val="TextBody"/>
        <w:bidi w:val="0"/>
        <w:spacing w:before="0" w:after="0"/>
        <w:ind w:left="36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670" w:name="_d57d27ac_3e7c_465e_82e8_7b85f8699ee0"/>
      <w:bookmarkEnd w:id="670"/>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bookmarkStart w:id="671" w:name="CondensedConsolidatedStatementsofCashFlo"/>
      <w:bookmarkEnd w:id="671"/>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Normal"/>
        <w:bidi w:val="0"/>
        <w:spacing w:before="0" w:after="0"/>
        <w:jc w:val="left"/>
        <w:rPr>
          <w:sz w:val="4"/>
          <w:szCs w:val="4"/>
        </w:rPr>
      </w:pPr>
      <w:r>
        <w:rPr>
          <w:sz w:val="4"/>
          <w:szCs w:val="4"/>
        </w:rPr>
      </w:r>
      <w:bookmarkStart w:id="672" w:name="Tc_YS-kOPcgcEe4_hD4g1zlfw_44_6"/>
      <w:bookmarkStart w:id="673" w:name="Tc_KZ1TX7iSiESc3f2UK23cAQ_44_5"/>
      <w:bookmarkStart w:id="674" w:name="Tc_3OnSU29Y3ES06dBb41k9BQ_44_2"/>
      <w:bookmarkStart w:id="675" w:name="Tc_P-Zs7X3Z10KSs2i_dsScSw_44_0"/>
      <w:bookmarkStart w:id="676" w:name="Tc_9Xj2_oWDykiNQdQu-Y9yiw_43_5"/>
      <w:bookmarkStart w:id="677" w:name="Tc_klrLHNNvKkaqcUFe6HO25w_43_3"/>
      <w:bookmarkStart w:id="678" w:name="Tc_SfpL43Cz60Oqb6nM6fiYZQ_43_2"/>
      <w:bookmarkStart w:id="679" w:name="Tc_UAftfN6BrU2D3-Ne2KoLXQ_43_0"/>
      <w:bookmarkStart w:id="680" w:name="Tc_3yOgZ58-kkKT63qlLqEoFA_42_0"/>
      <w:bookmarkStart w:id="681" w:name="Tc_UFPycipTQUONm2GwK9HIeA_40_5"/>
      <w:bookmarkStart w:id="682" w:name="Tc_kW3SUhm_z0WBSBCwx13Xmg_40_2"/>
      <w:bookmarkStart w:id="683" w:name="Tc_uNb9YRrueE2zegZW5cAZiQ_40_0"/>
      <w:bookmarkStart w:id="684" w:name="Tc_onn3YsDcik2O3qM_GN208A_39_0"/>
      <w:bookmarkStart w:id="685" w:name="Tc_GNlhtHz0xEOsNqugN-C3eA_38_0"/>
      <w:bookmarkStart w:id="686" w:name="Tc_VpU3JFG5bU-E3S6CVMl61Q_36_0"/>
      <w:bookmarkStart w:id="687" w:name="Tc_-6c68ht89kabA-re03mfYw_34_0"/>
      <w:bookmarkStart w:id="688" w:name="Tc_gPhEN-IVLUy9v1GkY2KO1A_33_0"/>
      <w:bookmarkStart w:id="689" w:name="Tc_91dcDEJpn02k_lgLfHjWkQ_32_6"/>
      <w:bookmarkStart w:id="690" w:name="Tc_Rpj3EtllaE6v4E5tsUvtlA_32_0"/>
      <w:bookmarkStart w:id="691" w:name="Tc_LIAEyBfoEkK--HMZ9TqNcw_31_3"/>
      <w:bookmarkStart w:id="692" w:name="Tc_FR0gIIe170ufQHbpPOxJBw_31_0"/>
      <w:bookmarkStart w:id="693" w:name="Tc_SyswkviEfkK1r0SB5XlbmA_30_3"/>
      <w:bookmarkStart w:id="694" w:name="Tc_MRP63XaMrk-93ITfWD5WEw_30_0"/>
      <w:bookmarkStart w:id="695" w:name="Tc_tvEGdlSmt0Oi-MuBjQ8qrA_29_3"/>
      <w:bookmarkStart w:id="696" w:name="Tc_jr6zoPrWukmNzvFja-DYQQ_29_0"/>
      <w:bookmarkStart w:id="697" w:name="Tc_-s6-vA_kG0yZIF5-gu5j9A_28_0"/>
      <w:bookmarkStart w:id="698" w:name="Tc_lldnnQ_hVkqNl9YfkmK9cw_26_0"/>
      <w:bookmarkStart w:id="699" w:name="Tc_3k-FIsyjAEC1uzEjnOviaA_25_6"/>
      <w:bookmarkStart w:id="700" w:name="Tc_OUE0MzHAEUGceuhZ_H2RBA_25_0"/>
      <w:bookmarkStart w:id="701" w:name="Tc_N9pPUOZdBke1Bc8zKjUSyQ_24_6"/>
      <w:bookmarkStart w:id="702" w:name="Tc_sLXZo6yo306OGAQG3XcEow_24_0"/>
      <w:bookmarkStart w:id="703" w:name="Tc_vrorwCojv0yzRsYKCOadLQ_23_0"/>
      <w:bookmarkStart w:id="704" w:name="Tc_TJzyp8-oFE6ar6ZampJMAA_22_0"/>
      <w:bookmarkStart w:id="705" w:name="Tc_ng6hBWetCEW25ScDX5GyhQ_21_0"/>
      <w:bookmarkStart w:id="706" w:name="Tc_GITzHYCBMkW16khUIR1HTg_19_0"/>
      <w:bookmarkStart w:id="707" w:name="Tc_6dT9M17AXUSV2bCKlW-LYA_18_0"/>
      <w:bookmarkStart w:id="708" w:name="Tc_-aaEXQFFUEaDcOYP3AENIA_17_3"/>
      <w:bookmarkStart w:id="709" w:name="Tc_gU1svuvejESj18YoamdxEQ_17_0"/>
      <w:bookmarkStart w:id="710" w:name="Tc_gjpt_G4AeE2KfiZ86tQSrg_16_3"/>
      <w:bookmarkStart w:id="711" w:name="Tc_zd0zPQ3w2Uqp3nUwmU8LdQ_16_0"/>
      <w:bookmarkStart w:id="712" w:name="Tc_vRWB0ub0aUKk0eEGkTeoxQ_15_0"/>
      <w:bookmarkStart w:id="713" w:name="Tc_tzhO5hJREU6J9QYtRlncVQ_14_0"/>
      <w:bookmarkStart w:id="714" w:name="Tc_h6N15rknlkmAbuyyIkYiFQ_13_0"/>
      <w:bookmarkStart w:id="715" w:name="Tc_UHQAZhcylE6hhxu8IHxQEA_12_0"/>
      <w:bookmarkStart w:id="716" w:name="Tc_KTu7D7WkbkmQjtE_c27Trg_11_0"/>
      <w:bookmarkStart w:id="717" w:name="Tc_m2Cr2LdlB0amtIAA_W2q2A_10_0"/>
      <w:bookmarkStart w:id="718" w:name="Tc_OzRQYGUmCk-enJEmGuVNGQ_9_6"/>
      <w:bookmarkStart w:id="719" w:name="Tc_OB9KuWdvNUyaFMnIB-KBBg_9_0"/>
      <w:bookmarkStart w:id="720" w:name="Tc_zda-OrJQgkmrF3NMxEDpjQ_8_3"/>
      <w:bookmarkStart w:id="721" w:name="Tc_mVXscOdwkE2pKxbGvMaZBA_8_0"/>
      <w:bookmarkStart w:id="722" w:name="Tc_dFAvK0oh90a7L54jx8KKPw_7_0"/>
      <w:bookmarkStart w:id="723" w:name="Tc_AZIPSH8NIkm4T8FWe8p69A_6_0"/>
      <w:bookmarkStart w:id="724" w:name="Tc_ud8UMyxOhEOtQeYyuqQNTw_5_5"/>
      <w:bookmarkStart w:id="725" w:name="Tc_cUQ3V5dwUUmJNWGONbPVBA_5_2"/>
      <w:bookmarkStart w:id="726" w:name="Tc_JwrrQ9UWAkucb5yBVKPCvg_5_0"/>
      <w:bookmarkStart w:id="727" w:name="Tc_gWajb6kqA0itke_vPRDIlQ_4_0"/>
      <w:bookmarkStart w:id="728" w:name="Tc_dUYP-2-P10ezdVxbe-1U8Q_3_5"/>
      <w:bookmarkStart w:id="729" w:name="Tc_BcC2HTexC0W5KDQkyB2zlQ_3_2"/>
      <w:bookmarkStart w:id="730" w:name="Tc_OhfjomKngk6lLmr7Lsi4pg_2_2"/>
      <w:bookmarkStart w:id="731" w:name="Tc_vZVwhh31J0K-DrqfD4ciEQ_1_2"/>
      <w:bookmarkStart w:id="732" w:name="_0c97ebd0_2b3e_4390_ad27_bd5c0e32e06f"/>
      <w:bookmarkStart w:id="733" w:name="Tc_YS-kOPcgcEe4_hD4g1zlfw_44_6"/>
      <w:bookmarkStart w:id="734" w:name="Tc_KZ1TX7iSiESc3f2UK23cAQ_44_5"/>
      <w:bookmarkStart w:id="735" w:name="Tc_3OnSU29Y3ES06dBb41k9BQ_44_2"/>
      <w:bookmarkStart w:id="736" w:name="Tc_P-Zs7X3Z10KSs2i_dsScSw_44_0"/>
      <w:bookmarkStart w:id="737" w:name="Tc_9Xj2_oWDykiNQdQu-Y9yiw_43_5"/>
      <w:bookmarkStart w:id="738" w:name="Tc_klrLHNNvKkaqcUFe6HO25w_43_3"/>
      <w:bookmarkStart w:id="739" w:name="Tc_SfpL43Cz60Oqb6nM6fiYZQ_43_2"/>
      <w:bookmarkStart w:id="740" w:name="Tc_UAftfN6BrU2D3-Ne2KoLXQ_43_0"/>
      <w:bookmarkStart w:id="741" w:name="Tc_3yOgZ58-kkKT63qlLqEoFA_42_0"/>
      <w:bookmarkStart w:id="742" w:name="Tc_UFPycipTQUONm2GwK9HIeA_40_5"/>
      <w:bookmarkStart w:id="743" w:name="Tc_kW3SUhm_z0WBSBCwx13Xmg_40_2"/>
      <w:bookmarkStart w:id="744" w:name="Tc_uNb9YRrueE2zegZW5cAZiQ_40_0"/>
      <w:bookmarkStart w:id="745" w:name="Tc_onn3YsDcik2O3qM_GN208A_39_0"/>
      <w:bookmarkStart w:id="746" w:name="Tc_GNlhtHz0xEOsNqugN-C3eA_38_0"/>
      <w:bookmarkStart w:id="747" w:name="Tc_VpU3JFG5bU-E3S6CVMl61Q_36_0"/>
      <w:bookmarkStart w:id="748" w:name="Tc_-6c68ht89kabA-re03mfYw_34_0"/>
      <w:bookmarkStart w:id="749" w:name="Tc_gPhEN-IVLUy9v1GkY2KO1A_33_0"/>
      <w:bookmarkStart w:id="750" w:name="Tc_91dcDEJpn02k_lgLfHjWkQ_32_6"/>
      <w:bookmarkStart w:id="751" w:name="Tc_Rpj3EtllaE6v4E5tsUvtlA_32_0"/>
      <w:bookmarkStart w:id="752" w:name="Tc_LIAEyBfoEkK--HMZ9TqNcw_31_3"/>
      <w:bookmarkStart w:id="753" w:name="Tc_FR0gIIe170ufQHbpPOxJBw_31_0"/>
      <w:bookmarkStart w:id="754" w:name="Tc_SyswkviEfkK1r0SB5XlbmA_30_3"/>
      <w:bookmarkStart w:id="755" w:name="Tc_MRP63XaMrk-93ITfWD5WEw_30_0"/>
      <w:bookmarkStart w:id="756" w:name="Tc_tvEGdlSmt0Oi-MuBjQ8qrA_29_3"/>
      <w:bookmarkStart w:id="757" w:name="Tc_jr6zoPrWukmNzvFja-DYQQ_29_0"/>
      <w:bookmarkStart w:id="758" w:name="Tc_-s6-vA_kG0yZIF5-gu5j9A_28_0"/>
      <w:bookmarkStart w:id="759" w:name="Tc_lldnnQ_hVkqNl9YfkmK9cw_26_0"/>
      <w:bookmarkStart w:id="760" w:name="Tc_3k-FIsyjAEC1uzEjnOviaA_25_6"/>
      <w:bookmarkStart w:id="761" w:name="Tc_OUE0MzHAEUGceuhZ_H2RBA_25_0"/>
      <w:bookmarkStart w:id="762" w:name="Tc_N9pPUOZdBke1Bc8zKjUSyQ_24_6"/>
      <w:bookmarkStart w:id="763" w:name="Tc_sLXZo6yo306OGAQG3XcEow_24_0"/>
      <w:bookmarkStart w:id="764" w:name="Tc_vrorwCojv0yzRsYKCOadLQ_23_0"/>
      <w:bookmarkStart w:id="765" w:name="Tc_TJzyp8-oFE6ar6ZampJMAA_22_0"/>
      <w:bookmarkStart w:id="766" w:name="Tc_ng6hBWetCEW25ScDX5GyhQ_21_0"/>
      <w:bookmarkStart w:id="767" w:name="Tc_GITzHYCBMkW16khUIR1HTg_19_0"/>
      <w:bookmarkStart w:id="768" w:name="Tc_6dT9M17AXUSV2bCKlW-LYA_18_0"/>
      <w:bookmarkStart w:id="769" w:name="Tc_-aaEXQFFUEaDcOYP3AENIA_17_3"/>
      <w:bookmarkStart w:id="770" w:name="Tc_gU1svuvejESj18YoamdxEQ_17_0"/>
      <w:bookmarkStart w:id="771" w:name="Tc_gjpt_G4AeE2KfiZ86tQSrg_16_3"/>
      <w:bookmarkStart w:id="772" w:name="Tc_zd0zPQ3w2Uqp3nUwmU8LdQ_16_0"/>
      <w:bookmarkStart w:id="773" w:name="Tc_vRWB0ub0aUKk0eEGkTeoxQ_15_0"/>
      <w:bookmarkStart w:id="774" w:name="Tc_tzhO5hJREU6J9QYtRlncVQ_14_0"/>
      <w:bookmarkStart w:id="775" w:name="Tc_h6N15rknlkmAbuyyIkYiFQ_13_0"/>
      <w:bookmarkStart w:id="776" w:name="Tc_UHQAZhcylE6hhxu8IHxQEA_12_0"/>
      <w:bookmarkStart w:id="777" w:name="Tc_KTu7D7WkbkmQjtE_c27Trg_11_0"/>
      <w:bookmarkStart w:id="778" w:name="Tc_m2Cr2LdlB0amtIAA_W2q2A_10_0"/>
      <w:bookmarkStart w:id="779" w:name="Tc_OzRQYGUmCk-enJEmGuVNGQ_9_6"/>
      <w:bookmarkStart w:id="780" w:name="Tc_OB9KuWdvNUyaFMnIB-KBBg_9_0"/>
      <w:bookmarkStart w:id="781" w:name="Tc_zda-OrJQgkmrF3NMxEDpjQ_8_3"/>
      <w:bookmarkStart w:id="782" w:name="Tc_mVXscOdwkE2pKxbGvMaZBA_8_0"/>
      <w:bookmarkStart w:id="783" w:name="Tc_dFAvK0oh90a7L54jx8KKPw_7_0"/>
      <w:bookmarkStart w:id="784" w:name="Tc_AZIPSH8NIkm4T8FWe8p69A_6_0"/>
      <w:bookmarkStart w:id="785" w:name="Tc_ud8UMyxOhEOtQeYyuqQNTw_5_5"/>
      <w:bookmarkStart w:id="786" w:name="Tc_cUQ3V5dwUUmJNWGONbPVBA_5_2"/>
      <w:bookmarkStart w:id="787" w:name="Tc_JwrrQ9UWAkucb5yBVKPCvg_5_0"/>
      <w:bookmarkStart w:id="788" w:name="Tc_gWajb6kqA0itke_vPRDIlQ_4_0"/>
      <w:bookmarkStart w:id="789" w:name="Tc_dUYP-2-P10ezdVxbe-1U8Q_3_5"/>
      <w:bookmarkStart w:id="790" w:name="Tc_BcC2HTexC0W5KDQkyB2zlQ_3_2"/>
      <w:bookmarkStart w:id="791" w:name="Tc_OhfjomKngk6lLmr7Lsi4pg_2_2"/>
      <w:bookmarkStart w:id="792" w:name="Tc_vZVwhh31J0K-DrqfD4ciEQ_1_2"/>
      <w:bookmarkStart w:id="793" w:name="_0c97ebd0_2b3e_4390_ad27_bd5c0e32e06f"/>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tbl>
      <w:tblPr>
        <w:tblW w:w="9158" w:type="dxa"/>
        <w:jc w:val="left"/>
        <w:tblInd w:w="0" w:type="dxa"/>
        <w:tblLayout w:type="fixed"/>
        <w:tblCellMar>
          <w:top w:w="0" w:type="dxa"/>
          <w:left w:w="0" w:type="dxa"/>
          <w:bottom w:w="0" w:type="dxa"/>
          <w:right w:w="0" w:type="dxa"/>
        </w:tblCellMar>
      </w:tblPr>
      <w:tblGrid>
        <w:gridCol w:w="6061"/>
        <w:gridCol w:w="346"/>
        <w:gridCol w:w="211"/>
        <w:gridCol w:w="796"/>
        <w:gridCol w:w="346"/>
        <w:gridCol w:w="211"/>
        <w:gridCol w:w="796"/>
        <w:gridCol w:w="391"/>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848735" cy="175260"/>
                      <wp:effectExtent l="0" t="0" r="0" b="0"/>
                      <wp:wrapNone/>
                      <wp:docPr id="73" name="Frame73"/>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9"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80" name="Frame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accretion of discount on investments,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currency transaction gains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redemptions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preferred stock subscription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 for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finance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and cash equivalents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in connection with convertible notes,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obtained in exchange for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bookmarkStart w:id="794" w:name="Notes_Start"/>
      <w:bookmarkEnd w:id="794"/>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Organization and Description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 (the “Recapitalization”).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closed on Tuesday, October 28, 2025, with trading commencing on the Nasdaq Stock Market LLC (“Nasdaq”) on Wednesday, October 29,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closing of the transaction, the combined company became known as Terrestrial Energy Inc. and its securities and warrants were listed on Nasdaq under the symbols “IMSR” and “IMSRW”,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Company’s primary sources of liquidity have been cash flows from private fundraising offerings to related parties or other investors and other financing activities to fund operations. For the six months ended June 30, 2026 and 2025, the Company reported operating losses of $23,603 and $10,048, respectively, and negative cash flows from operations of $14,794 and $6,885, respectively. As of June 30, 2026, the Company had $130,737 in cash and cash equivalents and $142,781 in short-term investments. The Company had net working capital of $268,621 and an accumulated deficit of $144,527.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are prepared in accordance with accounting principles generally accepted in the United States of America (“U.S. GAAP”) for interim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Times;serif" w:hAnsi="Times New Roman;Times;serif"/>
          <w:b/>
          <w:sz w:val="20"/>
        </w:rPr>
        <w:t>(</w:t>
      </w:r>
      <w:r>
        <w:rPr>
          <w:rFonts w:ascii="Times New Roman;Times;serif" w:hAnsi="Times New Roman;Times;serif"/>
          <w:sz w:val="20"/>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stockholders’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Credit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cash accounts in a financial institution may at times exceed the Federal Depository Insurance Corporation coverage of $250,000. No losses have been incurred to date on any deposit balance.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tbl>
      <w:tblPr>
        <w:tblW w:w="7236" w:type="dxa"/>
        <w:jc w:val="left"/>
        <w:tblInd w:w="0" w:type="dxa"/>
        <w:tblLayout w:type="fixed"/>
        <w:tblCellMar>
          <w:top w:w="28" w:type="dxa"/>
          <w:left w:w="28" w:type="dxa"/>
          <w:bottom w:w="28" w:type="dxa"/>
          <w:right w:w="28" w:type="dxa"/>
        </w:tblCellMar>
      </w:tblPr>
      <w:tblGrid>
        <w:gridCol w:w="124"/>
        <w:gridCol w:w="25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in active markets for identical assets or liabilities.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tc>
      </w:tr>
    </w:tbl>
    <w:tbl>
      <w:tblPr>
        <w:tblW w:w="5151" w:type="dxa"/>
        <w:jc w:val="left"/>
        <w:tblInd w:w="0" w:type="dxa"/>
        <w:tblLayout w:type="fixed"/>
        <w:tblCellMar>
          <w:top w:w="28" w:type="dxa"/>
          <w:left w:w="28" w:type="dxa"/>
          <w:bottom w:w="28" w:type="dxa"/>
          <w:right w:w="28" w:type="dxa"/>
        </w:tblCellMar>
      </w:tblPr>
      <w:tblGrid>
        <w:gridCol w:w="124"/>
        <w:gridCol w:w="256"/>
        <w:gridCol w:w="4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for the asset or liability.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equity (deficit) in the condensed consolidated balance sheets, and the amount initially recorded is not subsequently remeasured at fair value.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exchange for the award. Equity-based compensation expense is only recognized for awards subject to performance conditions if it is probable that the performance condition will be achieved. The Company accounts for forfeitures when they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 </w:t>
      </w:r>
      <w:r>
        <w:rPr>
          <w:rFonts w:ascii="Times New Roman;Times;serif" w:hAnsi="Times New Roman;Times;serif"/>
          <w:b w:val="false"/>
          <w:i w:val="false"/>
          <w:caps w:val="false"/>
          <w:smallCaps w:val="false"/>
          <w:sz w:val="20"/>
        </w:rPr>
        <w:t>single</w:t>
      </w:r>
      <w:r>
        <w:rPr>
          <w:rFonts w:ascii="Times New Roman;Times;serif" w:hAnsi="Times New Roman;Times;serif"/>
          <w:sz w:val="20"/>
        </w:rPr>
        <w:t xml:space="preserv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5" w:name="Tc_nFrq9sl1uku7S4rypLD2pA_10_15"/>
      <w:bookmarkStart w:id="796" w:name="Tc_8daaMcWOwE6Dt1b7wKyR-A_10_14"/>
      <w:bookmarkStart w:id="797" w:name="Tc_DN3f6q86Ck6TiPfKdl7iWQ_10_12"/>
      <w:bookmarkStart w:id="798" w:name="Tc_zmon29Ar_kuaxTfawFXboA_10_10"/>
      <w:bookmarkStart w:id="799" w:name="Tc_O8z3vUI0ukO43xF-oOm73A_10_8"/>
      <w:bookmarkStart w:id="800" w:name="Tc_7PK2vHrgL0uB6XUUSsWpKg_10_7"/>
      <w:bookmarkStart w:id="801" w:name="Tc_BvNmzZfnJUanOydJq9N-yQ_10_6"/>
      <w:bookmarkStart w:id="802" w:name="Tc_fSlHIJHveUaaeT2AEzhlgw_10_4"/>
      <w:bookmarkStart w:id="803" w:name="Tc_X2uJ-0qaqkyHrbSNwKwZgQ_10_2"/>
      <w:bookmarkStart w:id="804" w:name="Tc_qM2rM8v3uEy9PsUDr28-jA_10_0"/>
      <w:bookmarkStart w:id="805" w:name="Tc_bOKysDoBFEap2Xezfh8f_Q_9_15"/>
      <w:bookmarkStart w:id="806" w:name="Tc_Eapj3e-uW0OKlqo9GV-AAw_9_13"/>
      <w:bookmarkStart w:id="807" w:name="Tc_USy2VGAeqEGpjEevZeQGOw_9_11"/>
      <w:bookmarkStart w:id="808" w:name="Tc_w5pH9p_x4EOclOg02FhCUg_9_9"/>
      <w:bookmarkStart w:id="809" w:name="Tc_lB6fYD-I60Wb_WghOCHAgA_9_7"/>
      <w:bookmarkStart w:id="810" w:name="Tc_w8ezps2GkEWzM2FNGjWqKA_9_5"/>
      <w:bookmarkStart w:id="811" w:name="Tc_IS3oA0X5p0aiJGYiKW1BTQ_9_3"/>
      <w:bookmarkStart w:id="812" w:name="Tc_0iLzkEEuS0q0zOf-7IBMyw_9_0"/>
      <w:bookmarkStart w:id="813" w:name="Tc_sw-dcN6SkEOkZ8pVImflRA_8_15"/>
      <w:bookmarkStart w:id="814" w:name="Tc_sRKX89OjNUCXMCt63K08MQ_8_13"/>
      <w:bookmarkStart w:id="815" w:name="Tc_nHZWTPWRSEeX2rjc7IOO4g_8_11"/>
      <w:bookmarkStart w:id="816" w:name="Tc_dW4mD8Df00ufhnraM5bNFg_8_9"/>
      <w:bookmarkStart w:id="817" w:name="Tc_EGBwTiwAEU60z42buTxUtA_8_7"/>
      <w:bookmarkStart w:id="818" w:name="Tc_LGoLMfz19EWIqb3oERGZfQ_8_5"/>
      <w:bookmarkStart w:id="819" w:name="Tc_FVcdsUz4NE69B4wecm6xlQ_8_3"/>
      <w:bookmarkStart w:id="820" w:name="Tc_zSlwjCqEYUm9pyGTHnj-GA_8_0"/>
      <w:bookmarkStart w:id="821" w:name="Tc_lt5pjAtyEk-eS6ew4EnnCw_7_15"/>
      <w:bookmarkStart w:id="822" w:name="Tc_lfaG_pEXnU69_XJy9yV2Nw_7_11"/>
      <w:bookmarkStart w:id="823" w:name="Tc_7xp-KXXoP0GIOylONDppag_7_7"/>
      <w:bookmarkStart w:id="824" w:name="Tc_a27K0dLwiUCy5uP9jxwclA_7_0"/>
      <w:bookmarkStart w:id="825" w:name="Tc_XByZKz8QcE6shfAjT_m5Xg_6_15"/>
      <w:bookmarkStart w:id="826" w:name="Tc_OWv3tVk4Xkq8G6VSGcoNnQ_6_13"/>
      <w:bookmarkStart w:id="827" w:name="Tc_GrOeJ4yezki-8L6uNQfhiw_6_9"/>
      <w:bookmarkStart w:id="828" w:name="Tc_AdylXFksakaZbPHQ0TYwfQ_6_7"/>
      <w:bookmarkStart w:id="829" w:name="Tc_6c5mn3Z9jU6LmUU69XIx0Q_6_5"/>
      <w:bookmarkStart w:id="830" w:name="Tc_xRcat2_-MEiMUDXbwAAFfA_6_3"/>
      <w:bookmarkStart w:id="831" w:name="Tc_GKu8Ybts-U2NyOn2pW-AOA_6_0"/>
      <w:bookmarkStart w:id="832" w:name="Tc_H5up_YiFyE-1HT6g5KFJuw_5_15"/>
      <w:bookmarkStart w:id="833" w:name="Tc_XYYu9JpSf0CMHR5Ewhi0RA_5_13"/>
      <w:bookmarkStart w:id="834" w:name="Tc_1Knu3ucqkEK2UD_sXuIsNg_5_11"/>
      <w:bookmarkStart w:id="835" w:name="Tc_uJXQ28Qqh0SsE1rXIq5BAQ_5_9"/>
      <w:bookmarkStart w:id="836" w:name="Tc_u9q4jQ_FAkCqB1_IrrF4tw_5_7"/>
      <w:bookmarkStart w:id="837" w:name="Tc_7dDnxq6lokigRBGNk3xauw_5_5"/>
      <w:bookmarkStart w:id="838" w:name="Tc_ZasXek9a80WDi-tYmJRcvA_5_3"/>
      <w:bookmarkStart w:id="839" w:name="Tc_Xn9eyI5dK0G-74XAeJWCCg_5_0"/>
      <w:bookmarkStart w:id="840" w:name="Tc_Ns2U4EFvBk2kXwepGUk9Lg_4_15"/>
      <w:bookmarkStart w:id="841" w:name="Tc_Ko5G70MKoE2inDsd76VT1g_4_14"/>
      <w:bookmarkStart w:id="842" w:name="Tc_rYs8B7cSH0C_2EAMVKr__g_4_13"/>
      <w:bookmarkStart w:id="843" w:name="Tc_sIl_knhmm0G80YcfqwimAA_4_12"/>
      <w:bookmarkStart w:id="844" w:name="Tc_bXgrsN-ShUuxA_1qkj3yuw_4_10"/>
      <w:bookmarkStart w:id="845" w:name="Tc_aZYhZqI2M0Gh0oxOClCBlA_4_9"/>
      <w:bookmarkStart w:id="846" w:name="Tc_8Q3ISfj-F06COI7Mc-15zQ_4_8"/>
      <w:bookmarkStart w:id="847" w:name="Tc_uQXoHecJ5UeuRNcEx-UBbg_4_7"/>
      <w:bookmarkStart w:id="848" w:name="Tc_VOEnXpeFNEGMOdFXsPvC3w_4_6"/>
      <w:bookmarkStart w:id="849" w:name="Tc_XU6zWvDB60ONMwMrsh3l6w_4_5"/>
      <w:bookmarkStart w:id="850" w:name="Tc_qlldjq3q-UOs5QiXuhOicQ_4_4"/>
      <w:bookmarkStart w:id="851" w:name="Tc_JaamOHUFNEOIlDqRtae66Q_4_3"/>
      <w:bookmarkStart w:id="852" w:name="Tc_baMFR8dIzkKcw_zmMkpwXg_4_2"/>
      <w:bookmarkStart w:id="853" w:name="Tc_xeb_XF-uYkqOiMW1sv3xNg_4_0"/>
      <w:bookmarkStart w:id="854" w:name="Tc_d61aNTfXckWx9_KP4yHcog_3_15"/>
      <w:bookmarkStart w:id="855" w:name="Tc_Y8l7BtlY20Gh8c5wnbHtZA_3_13"/>
      <w:bookmarkStart w:id="856" w:name="Tc_KqkPyTpgI0eJ6UceJdL2Ow_3_11"/>
      <w:bookmarkStart w:id="857" w:name="Tc_wkk-L7AEAkiocfERV8lyew_3_9"/>
      <w:bookmarkStart w:id="858" w:name="Tc_kVSQ1w0NN0GuuNJbN7LnHQ_3_7"/>
      <w:bookmarkStart w:id="859" w:name="Tc_LuYC0I_A6kuEJZuOpPGSug_3_5"/>
      <w:bookmarkStart w:id="860" w:name="Tc_AWHVT6pN7E-T0vj4YfOvnw_3_2"/>
      <w:bookmarkStart w:id="861" w:name="Tc_ZaibjLwn-UW62uHJ5GiNbw_2_15"/>
      <w:bookmarkStart w:id="862" w:name="Tc_bg_Lj31UaEiBj8OU0D6P1w_2_13"/>
      <w:bookmarkStart w:id="863" w:name="Tc_WgXR2MZY90W0O3fEWrr8MA_2_11"/>
      <w:bookmarkStart w:id="864" w:name="Tc_vEMskqNfzkaZBfe4Czf2eQ_1_2"/>
      <w:bookmarkStart w:id="865" w:name="_e8f46248_22fa_4abb_8961_66a1c22b6a03"/>
      <w:bookmarkStart w:id="866" w:name="Tc_bo0VEFl2ukCmyoGkz2ZtZw_10_14"/>
      <w:bookmarkStart w:id="867" w:name="Tc_BVUj--r7sE6zBcc53Lbh4Q_10_12"/>
      <w:bookmarkStart w:id="868" w:name="Tc_7W_-lYB25Uy2ZGrgoIYeVQ_10_10"/>
      <w:bookmarkStart w:id="869" w:name="Tc_Lo28XKcIsUa8kuaV1UzJRQ_10_8"/>
      <w:bookmarkStart w:id="870" w:name="Tc_vAg83xd3zEKZDm08kqx7vw_10_6"/>
      <w:bookmarkStart w:id="871" w:name="Tc_-tgNLmGw0EuY-JcJEfMdCA_10_4"/>
      <w:bookmarkStart w:id="872" w:name="Tc_3OZegUy0JkSoZ0niuHgrvA_10_2"/>
      <w:bookmarkStart w:id="873" w:name="Tc_NIl9eVU8OE64UeKQrZu4cA_10_0"/>
      <w:bookmarkStart w:id="874" w:name="Tc_iaOcuZnapEa7VUODYgeRmw_9_11"/>
      <w:bookmarkStart w:id="875" w:name="Tc_5SaDSHwaFkGJ1En6oubJbA_9_5"/>
      <w:bookmarkStart w:id="876" w:name="Tc_m35A2djhgEGNLEf4xtcNXg_9_0"/>
      <w:bookmarkStart w:id="877" w:name="Tc_1oEgdFnCk0ila1oMb79UrQ_8_15"/>
      <w:bookmarkStart w:id="878" w:name="Tc_tNcz5HthH0mYCIHz0DfOaA_8_13"/>
      <w:bookmarkStart w:id="879" w:name="Tc_zEJXGUEX40qyEsdXQE6bWQ_8_11"/>
      <w:bookmarkStart w:id="880" w:name="Tc_SnRISvaA50esmaGRQ8C2GQ_8_9"/>
      <w:bookmarkStart w:id="881" w:name="Tc_YKNmQvDqQUyDj_ZeZ304eg_8_7"/>
      <w:bookmarkStart w:id="882" w:name="Tc_ytFNjQFT90C3HvJwyFMOZA_8_5"/>
      <w:bookmarkStart w:id="883" w:name="Tc_qN5Zvash1ECVBlHzdBFa1Q_8_3"/>
      <w:bookmarkStart w:id="884" w:name="Tc_g2D0wnjo8kK6KxbYikn1jA_8_0"/>
      <w:bookmarkStart w:id="885" w:name="Tc_oa1w5QUSbkm7ov8lnOqMrg_7_15"/>
      <w:bookmarkStart w:id="886" w:name="Tc_L_vGpa4APkmmwoBh9Rj1DA_7_11"/>
      <w:bookmarkStart w:id="887" w:name="Tc_J2berjp01kOvuzmQH0rn0w_7_7"/>
      <w:bookmarkStart w:id="888" w:name="Tc_Mnfty09PaEu6QHp8bNSj3A_7_0"/>
      <w:bookmarkStart w:id="889" w:name="Tc_9mdeep2qWk-8TeG1waCCLw_6_15"/>
      <w:bookmarkStart w:id="890" w:name="Tc_mHXToYgrc0etSH5vs0v2mw_6_13"/>
      <w:bookmarkStart w:id="891" w:name="Tc_-m3dGqN-WE-wPRE3cQ927w_6_9"/>
      <w:bookmarkStart w:id="892" w:name="Tc_po3U0NUSUkqDulv4sANTow_6_7"/>
      <w:bookmarkStart w:id="893" w:name="Tc_KifGhi5FQkCkjC194fTbtQ_6_5"/>
      <w:bookmarkStart w:id="894" w:name="Tc_2jEabLl6Hk2CUbX9FceIRQ_6_3"/>
      <w:bookmarkStart w:id="895" w:name="Tc_lG2FGdmUGEW4loTHGesTGw_6_0"/>
      <w:bookmarkStart w:id="896" w:name="Tc_wDG_Kz4CoEiAVtje119V2g_5_15"/>
      <w:bookmarkStart w:id="897" w:name="Tc_GWwDc4UMpEi_7d_zo543YQ_5_13"/>
      <w:bookmarkStart w:id="898" w:name="Tc_rSBymMNakkOWasYE7tmJrg_5_11"/>
      <w:bookmarkStart w:id="899" w:name="Tc_6XOQyNNJx0qtI1aB3E4LqA_5_9"/>
      <w:bookmarkStart w:id="900" w:name="Tc_4M_hgUZ5XkGpe2dN9yjuqQ_5_7"/>
      <w:bookmarkStart w:id="901" w:name="Tc_JlCwxbsvlky4h8P4h-SjNw_5_5"/>
      <w:bookmarkStart w:id="902" w:name="Tc_5PHzm_Lsak6SvOODDHqnLw_5_3"/>
      <w:bookmarkStart w:id="903" w:name="Tc_32qGKLyfAE2e6yYPaF7Uzg_5_0"/>
      <w:bookmarkStart w:id="904" w:name="Tc_mi4b1TISyEiYuzmI48JGiA_4_15"/>
      <w:bookmarkStart w:id="905" w:name="Tc_XcwhHYtXwUmuRz0ThTa6Yg_4_14"/>
      <w:bookmarkStart w:id="906" w:name="Tc_MmlFBWU_tkuB7haEoxZKWw_4_13"/>
      <w:bookmarkStart w:id="907" w:name="Tc_B_OnaG9M7k6nYsUPxie78w_4_12"/>
      <w:bookmarkStart w:id="908" w:name="Tc_XCmhlFpFU06h_zf3Vmy2dA_4_10"/>
      <w:bookmarkStart w:id="909" w:name="Tc_6t8xJxI790CNSBleQ2mdug_4_9"/>
      <w:bookmarkStart w:id="910" w:name="Tc_FngLYENsf0ueO1HJr_nmOQ_4_8"/>
      <w:bookmarkStart w:id="911" w:name="Tc_qJSK1nflv06dv9PUdzvYAQ_4_7"/>
      <w:bookmarkStart w:id="912" w:name="Tc_nFC09fVkqEGhyiBIyq_hNg_4_6"/>
      <w:bookmarkStart w:id="913" w:name="Tc_YVzBQqntpU-PI5G21e-Hrg_4_5"/>
      <w:bookmarkStart w:id="914" w:name="Tc_UxoOSbBP9EywxVWXq8M0gQ_4_4"/>
      <w:bookmarkStart w:id="915" w:name="Tc_5jzcHAajPkKtWQT6fQrHvQ_4_3"/>
      <w:bookmarkStart w:id="916" w:name="Tc_fwKVOskLiU2QPS2Hf5vLxg_4_2"/>
      <w:bookmarkStart w:id="917" w:name="Tc_QF0gkJ-baUGLwwJPqRYV-Q_4_0"/>
      <w:bookmarkStart w:id="918" w:name="Tc_Sowxem2G80ybmCyPJFkM0A_3_15"/>
      <w:bookmarkStart w:id="919" w:name="Tc_5NPWa_6WY0u-90zokfMisQ_3_13"/>
      <w:bookmarkStart w:id="920" w:name="Tc_lI6P6Ub6mUyqzzsrJZ2zzA_3_11"/>
      <w:bookmarkStart w:id="921" w:name="Tc_ovf1N5Rx0k-0r11SdJ0Wuw_3_9"/>
      <w:bookmarkStart w:id="922" w:name="Tc_MY9MrUf-j0OFaIveI8exPw_3_7"/>
      <w:bookmarkStart w:id="923" w:name="Tc_U_AgS5PHLEuMcj5w03dlUQ_3_5"/>
      <w:bookmarkStart w:id="924" w:name="Tc_en-XLiPJEES1N5tfWIzSQw_3_2"/>
      <w:bookmarkStart w:id="925" w:name="Tc_Clsz7C2iNUm6bxEuoc9WJQ_2_15"/>
      <w:bookmarkStart w:id="926" w:name="Tc_FXnv020xrkqgofU9t7hN8w_2_13"/>
      <w:bookmarkStart w:id="927" w:name="Tc_7YdIbN7CTkWDcGKTxXWjbw_2_11"/>
      <w:bookmarkStart w:id="928" w:name="Tc_NbdqvXnbDEe1QFNhbjOYDQ_1_2"/>
      <w:bookmarkStart w:id="929" w:name="_e8893fd5_5061_4e2c_bc05_206929c3dc0b"/>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r>
        <w:rPr>
          <w:rFonts w:ascii="Times New Roman;Times;serif" w:hAnsi="Times New Roman;Times;serif"/>
          <w:b/>
          <w:sz w:val="20"/>
        </w:rPr>
        <w:t>3.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Company’s cash, cash equivalent and investments by significant investment category as of June 30, 2026:</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46760" cy="175260"/>
                      <wp:effectExtent l="0" t="0" r="0" b="0"/>
                      <wp:wrapNone/>
                      <wp:docPr id="81" name="Frame81"/>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9700" cy="175260"/>
                      <wp:effectExtent l="0" t="0" r="0" b="0"/>
                      <wp:wrapNone/>
                      <wp:docPr id="83" name="Frame8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4665" cy="175260"/>
                      <wp:effectExtent l="0" t="0" r="0" b="0"/>
                      <wp:wrapNone/>
                      <wp:docPr id="84" name="Frame8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5955" cy="175260"/>
                      <wp:effectExtent l="0" t="0" r="0" b="0"/>
                      <wp:wrapNone/>
                      <wp:docPr id="86" name="Frame86"/>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3575" cy="175260"/>
                      <wp:effectExtent l="0" t="0" r="0" b="0"/>
                      <wp:wrapNone/>
                      <wp:docPr id="88" name="Frame88"/>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67995" cy="175260"/>
                      <wp:effectExtent l="0" t="0" r="0" b="0"/>
                      <wp:wrapNone/>
                      <wp:docPr id="90" name="Frame9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1515" cy="175260"/>
                      <wp:effectExtent l="0" t="0" r="0" b="0"/>
                      <wp:wrapNone/>
                      <wp:docPr id="92" name="Frame92"/>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460" cy="175260"/>
                      <wp:effectExtent l="0" t="0" r="0" b="0"/>
                      <wp:wrapNone/>
                      <wp:docPr id="93"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7385" cy="175260"/>
                      <wp:effectExtent l="0" t="0" r="0" b="0"/>
                      <wp:wrapNone/>
                      <wp:docPr id="94" name="Frame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7385" cy="175260"/>
                      <wp:effectExtent l="0" t="0" r="0" b="0"/>
                      <wp:wrapNone/>
                      <wp:docPr id="96" name="Frame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9060" cy="175260"/>
                      <wp:effectExtent l="0" t="0" r="0" b="0"/>
                      <wp:wrapNone/>
                      <wp:docPr id="98" name="Frame9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June 30, 2026</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13,434</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117,303</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135,955</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1,868</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137,823</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137,823</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14,910</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14,869</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4,958</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150,865</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1,868</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152,692</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130,737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142,781</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9,911</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46760" cy="175260"/>
                      <wp:effectExtent l="0" t="0" r="0" b="0"/>
                      <wp:wrapNone/>
                      <wp:docPr id="99" name="Frame99"/>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9700" cy="175260"/>
                      <wp:effectExtent l="0" t="0" r="0" b="0"/>
                      <wp:wrapNone/>
                      <wp:docPr id="101" name="Frame1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4665" cy="175260"/>
                      <wp:effectExtent l="0" t="0" r="0" b="0"/>
                      <wp:wrapNone/>
                      <wp:docPr id="102" name="Frame10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5955" cy="175260"/>
                      <wp:effectExtent l="0" t="0" r="0" b="0"/>
                      <wp:wrapNone/>
                      <wp:docPr id="104" name="Frame104"/>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3575" cy="175260"/>
                      <wp:effectExtent l="0" t="0" r="0" b="0"/>
                      <wp:wrapNone/>
                      <wp:docPr id="106" name="Frame106"/>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67995" cy="175260"/>
                      <wp:effectExtent l="0" t="0" r="0" b="0"/>
                      <wp:wrapNone/>
                      <wp:docPr id="108" name="Frame10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1515" cy="175260"/>
                      <wp:effectExtent l="0" t="0" r="0" b="0"/>
                      <wp:wrapNone/>
                      <wp:docPr id="110" name="Frame110"/>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7385" cy="175260"/>
                      <wp:effectExtent l="0" t="0" r="0" b="0"/>
                      <wp:wrapNone/>
                      <wp:docPr id="112" name="Frame11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7385" cy="175260"/>
                      <wp:effectExtent l="0" t="0" r="0" b="0"/>
                      <wp:wrapNone/>
                      <wp:docPr id="114" name="Frame1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9060" cy="175260"/>
                      <wp:effectExtent l="0" t="0" r="0" b="0"/>
                      <wp:wrapNone/>
                      <wp:docPr id="116" name="Frame116"/>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93,897</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199,497</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1,129</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199,497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1,129</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97,164</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accrued interest earned of $98 related to investments were included in prepaid expenses and other current assets on the condensed consolidated balance sheets. There was no allowance for expected credit losses on available-for-sale debt securities included as of June 30, 2026 as the unrealized losses were deemed to be temporary in nature.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sz w:val="20"/>
        </w:rPr>
      </w:pPr>
      <w:bookmarkStart w:id="930" w:name="Tc_t1K2L8W9bkilWf6tmqfTQA_4_2"/>
      <w:bookmarkStart w:id="931" w:name="Tc_L7F59aBmnUi7J98YzjHn8A_4_0"/>
      <w:bookmarkStart w:id="932" w:name="Tc_l3UgE1vh-Ue4cgnXoW0zbw_3_0"/>
      <w:bookmarkStart w:id="933" w:name="Tc_N5YhIbQzik-wL4EJQAa-og_2_2"/>
      <w:bookmarkStart w:id="934" w:name="Tc__b8FHZKdfEWkRNCm2ww__Q_2_0"/>
      <w:bookmarkStart w:id="935" w:name="_9605618d_0239_4de9_97f9_389674b1b8b3"/>
      <w:bookmarkEnd w:id="930"/>
      <w:bookmarkEnd w:id="931"/>
      <w:bookmarkEnd w:id="932"/>
      <w:bookmarkEnd w:id="933"/>
      <w:bookmarkEnd w:id="934"/>
      <w:bookmarkEnd w:id="935"/>
      <w:r>
        <w:rPr>
          <w:rFonts w:ascii="Times New Roman;Times;serif" w:hAnsi="Times New Roman;Times;serif"/>
          <w:sz w:val="20"/>
        </w:rPr>
        <w:t>The following table shows the fair value of the Company’s investments, by contractual maturity, as of June 30, 2026:</w:t>
      </w:r>
    </w:p>
    <w:tbl>
      <w:tblPr>
        <w:tblW w:w="3577" w:type="dxa"/>
        <w:jc w:val="left"/>
        <w:tblInd w:w="0" w:type="dxa"/>
        <w:tblLayout w:type="fixed"/>
        <w:tblCellMar>
          <w:top w:w="0" w:type="dxa"/>
          <w:left w:w="0" w:type="dxa"/>
          <w:bottom w:w="0" w:type="dxa"/>
          <w:right w:w="0" w:type="dxa"/>
        </w:tblCellMar>
      </w:tblPr>
      <w:tblGrid>
        <w:gridCol w:w="2416"/>
        <w:gridCol w:w="109"/>
        <w:gridCol w:w="256"/>
        <w:gridCol w:w="7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34160" cy="175260"/>
                      <wp:effectExtent l="0" t="0" r="0" b="0"/>
                      <wp:wrapNone/>
                      <wp:docPr id="117" name="Frame11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2560" cy="175260"/>
                      <wp:effectExtent l="0" t="0" r="0" b="0"/>
                      <wp:wrapNone/>
                      <wp:docPr id="119" name="Frame11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5460" cy="175260"/>
                      <wp:effectExtent l="0" t="0" r="0" b="0"/>
                      <wp:wrapNone/>
                      <wp:docPr id="120" name="Frame1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within 1 year</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142,781</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after 1 year through 5 years</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152,692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36" w:name="Tc_iiu-DhTquk-HN4bxH2SJRQ_5_9"/>
      <w:bookmarkStart w:id="937" w:name="Tc_TU_ePHMYm0yF0WZUZOZ-pA_5_3"/>
      <w:bookmarkStart w:id="938" w:name="Tc_KEpJ8U4hXkeB-rKJL4zZ-w_5_0"/>
      <w:bookmarkStart w:id="939" w:name="Tc_VN6Y9JjLAkSjKvfzV6syGA_4_11"/>
      <w:bookmarkStart w:id="940" w:name="Tc_WZfc28uoEUOSVPDz72Unpg_4_9"/>
      <w:bookmarkStart w:id="941" w:name="Tc_6C_JAo2_-E6QaJXAyVeZtQ_4_8"/>
      <w:bookmarkStart w:id="942" w:name="Tc_Sx1y3jo_ZU-AHNil0bucBw_4_5"/>
      <w:bookmarkStart w:id="943" w:name="Tc_-2FNdi6wF0iQLNKFI0Eajg_4_3"/>
      <w:bookmarkStart w:id="944" w:name="Tc_wUVhiggj7EKrr5OAwHsIdA_4_2"/>
      <w:bookmarkStart w:id="945" w:name="Tc_mrbUrLxyOEmrcKZlIkXnIA_4_0"/>
      <w:bookmarkStart w:id="946" w:name="Tc_ABPGfQyzik21szW4LN0a8Q_3_11"/>
      <w:bookmarkStart w:id="947" w:name="Tc_wbVADktC80-x9lN5F1ggAQ_3_8"/>
      <w:bookmarkStart w:id="948" w:name="Tc_KeItJvz9PEefqGXYV8WRUA_3_5"/>
      <w:bookmarkStart w:id="949" w:name="Tc_8VKxdV7NvkKA847fdqhBxw_3_2"/>
      <w:bookmarkStart w:id="950" w:name="Tc_n5zzB_SOp0yN0WfrBOFBUw_2_8"/>
      <w:bookmarkStart w:id="951" w:name="Tc_LVi0gaq8FkG6_stlQedF1Q_2_2"/>
      <w:bookmarkStart w:id="952" w:name="Tc_0u0a5w7DREOil5RlcAKSZA_1_8"/>
      <w:bookmarkStart w:id="953" w:name="Tc_iQasygY0cUmBIUnNV5jCjg_1_2"/>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r>
        <w:rPr>
          <w:rFonts w:ascii="Times New Roman;Times;serif" w:hAnsi="Times New Roman;Times;serif"/>
          <w:b/>
          <w:sz w:val="20"/>
        </w:rPr>
        <w:t>4. Related Party Balances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related party transactions for: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058"/>
        <w:gridCol w:w="346"/>
        <w:gridCol w:w="225"/>
        <w:gridCol w:w="370"/>
        <w:gridCol w:w="370"/>
        <w:gridCol w:w="225"/>
        <w:gridCol w:w="337"/>
        <w:gridCol w:w="346"/>
        <w:gridCol w:w="211"/>
        <w:gridCol w:w="346"/>
        <w:gridCol w:w="346"/>
        <w:gridCol w:w="211"/>
        <w:gridCol w:w="421"/>
        <w:gridCol w:w="393"/>
      </w:tblGrid>
      <w:tr>
        <w:trPr/>
        <w:tc>
          <w:tcPr>
            <w:tcW w:w="6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846830" cy="175260"/>
                      <wp:effectExtent l="0" t="0" r="0" b="0"/>
                      <wp:wrapNone/>
                      <wp:docPr id="121" name="Frame121"/>
                      <a:graphic xmlns:a="http://schemas.openxmlformats.org/drawingml/2006/main">
                        <a:graphicData uri="http://schemas.microsoft.com/office/word/2010/wordprocessingShape">
                          <wps:wsp>
                            <wps:cNvSpPr txBox="1"/>
                            <wps:spPr>
                              <a:xfrm>
                                <a:off x="0" y="0"/>
                                <a:ext cx="3846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2875" cy="175260"/>
                      <wp:effectExtent l="0" t="0" r="0" b="0"/>
                      <wp:wrapNone/>
                      <wp:docPr id="123" name="Frame12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34950" cy="175260"/>
                      <wp:effectExtent l="0" t="0" r="0" b="0"/>
                      <wp:wrapNone/>
                      <wp:docPr id="124" name="Frame12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4950" cy="175260"/>
                      <wp:effectExtent l="0" t="0" r="0" b="0"/>
                      <wp:wrapNone/>
                      <wp:docPr id="125" name="Frame12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2875" cy="175260"/>
                      <wp:effectExtent l="0" t="0" r="0" b="0"/>
                      <wp:wrapNone/>
                      <wp:docPr id="126" name="Frame12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3995" cy="175260"/>
                      <wp:effectExtent l="0" t="0" r="0" b="0"/>
                      <wp:wrapNone/>
                      <wp:docPr id="127" name="Frame1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7335" cy="175260"/>
                      <wp:effectExtent l="0" t="0" r="0" b="0"/>
                      <wp:wrapNone/>
                      <wp:docPr id="133" name="Frame1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9555" cy="175260"/>
                      <wp:effectExtent l="0" t="0" r="0" b="0"/>
                      <wp:wrapNone/>
                      <wp:docPr id="134" name="Frame13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5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3" w:type="dxa"/>
            <w:tcBorders/>
            <w:vAlign w:val="center"/>
          </w:tcPr>
          <w:p>
            <w:pPr>
              <w:pStyle w:val="TableContents"/>
              <w:bidi w:val="0"/>
              <w:spacing w:before="0" w:after="1"/>
              <w:ind w:left="0" w:right="0" w:hanging="0"/>
              <w:jc w:val="center"/>
              <w:rPr/>
            </w:pPr>
            <w:r>
              <w:rPr/>
              <w:t>​</w: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5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3" w:type="dxa"/>
            <w:tcBorders/>
            <w:vAlign w:val="center"/>
          </w:tcPr>
          <w:p>
            <w:pPr>
              <w:pStyle w:val="TableContents"/>
              <w:bidi w:val="0"/>
              <w:spacing w:before="0" w:after="1"/>
              <w:ind w:left="0" w:right="0" w:hanging="0"/>
              <w:jc w:val="center"/>
              <w:rPr/>
            </w:pPr>
            <w:r>
              <w:rPr/>
              <w:t>​</w: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1"/>
              <w:ind w:left="0" w:right="0" w:hanging="0"/>
              <w:jc w:val="center"/>
              <w:rPr/>
            </w:pPr>
            <w:r>
              <w:rPr/>
              <w:t>  ​ ​ ​</w:t>
            </w:r>
          </w:p>
        </w:tc>
        <w:tc>
          <w:tcPr>
            <w:tcW w:w="5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center"/>
              <w:rPr/>
            </w:pPr>
            <w:r>
              <w:rPr/>
              <w:t>  ​ ​ ​</w:t>
            </w:r>
          </w:p>
        </w:tc>
      </w:tr>
      <w:tr>
        <w:trPr/>
        <w:tc>
          <w:tcPr>
            <w:tcW w:w="6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 and expenses paid to companies controlled by officers included in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 paid to companies controlled by officers included in general and administrative</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are in the normal course of operations and are measured at fair value, which is the amount of consideration established and agreed to by the related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Leases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During the six months ended June 30, 2026, the Company entered into three</w:t>
      </w:r>
      <w:r>
        <w:rPr>
          <w:rFonts w:ascii="Times New Roman;Times;serif" w:hAnsi="Times New Roman;Times;serif"/>
          <w:b/>
          <w:sz w:val="20"/>
        </w:rPr>
        <w:t xml:space="preserve"> </w:t>
      </w:r>
      <w:r>
        <w:rPr>
          <w:rFonts w:ascii="Times New Roman;Times;serif" w:hAnsi="Times New Roman;Times;serif"/>
          <w:b w:val="false"/>
          <w:sz w:val="20"/>
        </w:rPr>
        <w:t>lease arrangements with the Board of Regents of The Texas A&amp;M University System related to its operations at the Texas A&amp;M-RELLIS campus in Bryan, Texas.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In March 2026, the Company commenced an operating lease for approximately 1,775</w:t>
      </w:r>
      <w:r>
        <w:rPr>
          <w:rFonts w:ascii="Times New Roman;Times;serif" w:hAnsi="Times New Roman;Times;serif"/>
          <w:b/>
          <w:sz w:val="20"/>
        </w:rPr>
        <w:t xml:space="preserve"> </w:t>
      </w:r>
      <w:r>
        <w:rPr>
          <w:rFonts w:ascii="Times New Roman;Times;serif" w:hAnsi="Times New Roman;Times;serif"/>
          <w:b w:val="false"/>
          <w:sz w:val="20"/>
        </w:rPr>
        <w:t>square feet of office space. The lease has an initial term of two years</w:t>
      </w:r>
      <w:r>
        <w:rPr>
          <w:rFonts w:ascii="Times New Roman;Times;serif" w:hAnsi="Times New Roman;Times;serif"/>
          <w:b/>
          <w:sz w:val="20"/>
        </w:rPr>
        <w:t xml:space="preserve"> </w:t>
      </w:r>
      <w:r>
        <w:rPr>
          <w:rFonts w:ascii="Times New Roman;Times;serif" w:hAnsi="Times New Roman;Times;serif"/>
          <w:b w:val="false"/>
          <w:sz w:val="20"/>
        </w:rPr>
        <w:t>and provides the Company with three</w:t>
      </w:r>
      <w:r>
        <w:rPr>
          <w:rFonts w:ascii="Times New Roman;Times;serif" w:hAnsi="Times New Roman;Times;serif"/>
          <w:b/>
          <w:sz w:val="20"/>
        </w:rPr>
        <w:t xml:space="preserve"> </w:t>
      </w:r>
      <w:r>
        <w:rPr>
          <w:rFonts w:ascii="Times New Roman;Times;serif" w:hAnsi="Times New Roman;Times;serif"/>
          <w:b w:val="false"/>
          <w:sz w:val="20"/>
        </w:rPr>
        <w:t>additional one-year</w:t>
      </w:r>
      <w:r>
        <w:rPr>
          <w:rFonts w:ascii="Times New Roman;Times;serif" w:hAnsi="Times New Roman;Times;serif"/>
          <w:b/>
          <w:sz w:val="20"/>
        </w:rPr>
        <w:t xml:space="preserve"> </w:t>
      </w:r>
      <w:r>
        <w:rPr>
          <w:rFonts w:ascii="Times New Roman;Times;serif" w:hAnsi="Times New Roman;Times;serif"/>
          <w:b w:val="false"/>
          <w:sz w:val="20"/>
        </w:rPr>
        <w:t>renewal options. Annual base rent is approximately $116</w:t>
      </w:r>
      <w:r>
        <w:rPr>
          <w:rFonts w:ascii="Times New Roman;Times;serif" w:hAnsi="Times New Roman;Times;serif"/>
          <w:b/>
          <w:sz w:val="20"/>
        </w:rPr>
        <w:t xml:space="preserve"> </w:t>
      </w:r>
      <w:r>
        <w:rPr>
          <w:rFonts w:ascii="Times New Roman;Times;serif" w:hAnsi="Times New Roman;Times;serif"/>
          <w:b w:val="false"/>
          <w:sz w:val="20"/>
        </w:rPr>
        <w:t>and increases by 3.5%</w:t>
      </w:r>
      <w:r>
        <w:rPr>
          <w:rFonts w:ascii="Times New Roman;Times;serif" w:hAnsi="Times New Roman;Times;serif"/>
          <w:b/>
          <w:sz w:val="20"/>
        </w:rPr>
        <w:t xml:space="preserve"> </w:t>
      </w:r>
      <w:r>
        <w:rPr>
          <w:rFonts w:ascii="Times New Roman;Times;serif" w:hAnsi="Times New Roman;Times;serif"/>
          <w:b w:val="false"/>
          <w:sz w:val="20"/>
        </w:rPr>
        <w:t>beginning on the second anniversary of the lease commencement date and annually thereafter.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June 15, 2026, the Company entered into two</w:t>
      </w:r>
      <w:r>
        <w:rPr>
          <w:rFonts w:ascii="Times New Roman;Times;serif" w:hAnsi="Times New Roman;Times;serif"/>
          <w:b/>
          <w:sz w:val="20"/>
        </w:rPr>
        <w:t xml:space="preserve"> </w:t>
      </w:r>
      <w:r>
        <w:rPr>
          <w:rFonts w:ascii="Times New Roman;Times;serif" w:hAnsi="Times New Roman;Times;serif"/>
          <w:b w:val="false"/>
          <w:sz w:val="20"/>
        </w:rPr>
        <w:t>ground lease arrangements with the Texas A&amp;M University System covering an aggregate of approximately 77.7</w:t>
      </w:r>
      <w:r>
        <w:rPr>
          <w:rFonts w:ascii="Times New Roman;Times;serif" w:hAnsi="Times New Roman;Times;serif"/>
          <w:b/>
          <w:sz w:val="20"/>
        </w:rPr>
        <w:t xml:space="preserve"> </w:t>
      </w:r>
      <w:r>
        <w:rPr>
          <w:rFonts w:ascii="Times New Roman;Times;serif" w:hAnsi="Times New Roman;Times;serif"/>
          <w:b w:val="false"/>
          <w:sz w:val="20"/>
        </w:rPr>
        <w:t>acres at the Texas A&amp;M-RELLIS campus. The first lease covers approximately 44.4</w:t>
      </w:r>
      <w:r>
        <w:rPr>
          <w:rFonts w:ascii="Times New Roman;Times;serif" w:hAnsi="Times New Roman;Times;serif"/>
          <w:b/>
          <w:sz w:val="20"/>
        </w:rPr>
        <w:t xml:space="preserve"> </w:t>
      </w:r>
      <w:r>
        <w:rPr>
          <w:rFonts w:ascii="Times New Roman;Times;serif" w:hAnsi="Times New Roman;Times;serif"/>
          <w:b w:val="false"/>
          <w:sz w:val="20"/>
        </w:rPr>
        <w:t>acres, expires on March 31, 2028, and provides for annual base rent of approximately $1,110, payable quarterly and subject to a 3.75%</w:t>
      </w:r>
      <w:r>
        <w:rPr>
          <w:rFonts w:ascii="Times New Roman;Times;serif" w:hAnsi="Times New Roman;Times;serif"/>
          <w:b/>
          <w:sz w:val="20"/>
        </w:rPr>
        <w:t xml:space="preserve"> </w:t>
      </w:r>
      <w:r>
        <w:rPr>
          <w:rFonts w:ascii="Times New Roman;Times;serif" w:hAnsi="Times New Roman;Times;serif"/>
          <w:b w:val="false"/>
          <w:sz w:val="20"/>
        </w:rPr>
        <w:t>increase on the first anniversary of the commencement date. The second lease covers approximately 33.3</w:t>
      </w:r>
      <w:r>
        <w:rPr>
          <w:rFonts w:ascii="Times New Roman;Times;serif" w:hAnsi="Times New Roman;Times;serif"/>
          <w:b/>
          <w:sz w:val="20"/>
        </w:rPr>
        <w:t xml:space="preserve"> </w:t>
      </w:r>
      <w:r>
        <w:rPr>
          <w:rFonts w:ascii="Times New Roman;Times;serif" w:hAnsi="Times New Roman;Times;serif"/>
          <w:b w:val="false"/>
          <w:sz w:val="20"/>
        </w:rPr>
        <w:t>acres, has an initial term ending September 1, 2026, and may be extended through April 30, 2027. Annualized base rent under the second lease is approximately $0.8</w:t>
      </w:r>
      <w:r>
        <w:rPr>
          <w:rFonts w:ascii="Times New Roman;Times;serif" w:hAnsi="Times New Roman;Times;serif"/>
          <w:b/>
          <w:sz w:val="20"/>
        </w:rPr>
        <w:t xml:space="preserve"> </w:t>
      </w:r>
      <w:r>
        <w:rPr>
          <w:rFonts w:ascii="Times New Roman;Times;serif" w:hAnsi="Times New Roman;Times;serif"/>
          <w:b w:val="false"/>
          <w:sz w:val="20"/>
        </w:rPr>
        <w:t>million, payable quarterly and prorated for any partial period, before any approved sponsored-research credits. Because the term of the 33.3-acre lease, including the extension period, does not exceed 12 months, the Company elected the short-term lease recognition exemption and did not recognize a right-of-use asset or lease liability for that arrangement. Payments under the short-term lease are recognized as lease expense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operating leases commenced during the six months ended June 30, 2026, the Company recognized approximately $2,125 of operating lease right-of-use assets and corresponding lease liabilities. As of June 30, 2026 and December 31, 2025, operating lease right-of-use assets were approximately $3,595 and $1,814, respectively, and operating lease liabilities were approximately $3,809 and $1,984, respectively. As of June 30, 2026, operating lease liabilities included approximately $1,803 classified as current and $2,006 classified as noncurrent.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Stockholders’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June 30, 2026 and December 31, 2025, no shares of Preferred Stock were issued and outstanding.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Board of Directors has authorized 500,000,000 shares of common stock, par value $0.0001. As of June 30, 2026 and December 31, 2025, the Company had 82,718,567 and 81,771,422 shares of common stock issued and outstanding.</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30,276,119 outstanding warrants to purchase common stock at a weighted average exercise price of $8.24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Call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call options continue to be valid and enforceable following the consummation of the Business Combination. These instruments are presented within stockholders’ equity (deficit) at the original consideration price per share and are not remeasured unless exercised.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Exchangeable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23,216,687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June 30, 2026 and 2025, 476,133 and zero exchangeable shares, respectively, were exchanged for common shares. During the six months ended June 30, 2026 and 2025, 794,330 and zero exchangeable shares, respectively, were exchanged for common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bookmarkStart w:id="954" w:name="Tc_VEiBxgys502oOh5bn1rnVQ_8_11"/>
      <w:bookmarkStart w:id="955" w:name="Tc_pU4oEIaFDEOn9_VM2Abeuw_8_8"/>
      <w:bookmarkStart w:id="956" w:name="Tc_BE0Oe5EqbUioLkJuJX0JEw_8_5"/>
      <w:bookmarkStart w:id="957" w:name="Tc_cp9nEdUrsE-FsvlcmjXMHQ_8_2"/>
      <w:bookmarkStart w:id="958" w:name="Tc_HEPZW3Otu0OC4MDMB6WNaQ_8_0"/>
      <w:bookmarkStart w:id="959" w:name="Tc_wQySQx42Q0Cg75FCk-9b1Q_7_0"/>
      <w:bookmarkStart w:id="960" w:name="Tc_K0vaIulJMEC5I1EAlFdyDg_6_0"/>
      <w:bookmarkStart w:id="961" w:name="Tc_NrQm2VKK5ESO0fTBDQL6PQ_5_11"/>
      <w:bookmarkStart w:id="962" w:name="Tc_hQZxKxPY1UWTHMG97RNAdw_5_8"/>
      <w:bookmarkStart w:id="963" w:name="Tc_7n5HqGczKkqbTtno-BFwYA_5_5"/>
      <w:bookmarkStart w:id="964" w:name="Tc_Lf-J2--Jb0i6_1W61qvn0w_5_2"/>
      <w:bookmarkStart w:id="965" w:name="Tc_Dz0xQ6O-fUu4QkfkrOH3eQ_5_0"/>
      <w:bookmarkStart w:id="966" w:name="Tc_c3S6i1kMO0m85Vd9Ld-wzg_4_0"/>
      <w:bookmarkStart w:id="967" w:name="Tc_GxCPJyHcVEyXoWZBgk_nRg_3_11"/>
      <w:bookmarkStart w:id="968" w:name="Tc_zqfLPpmisUyAv7rNOYgMog_3_8"/>
      <w:bookmarkStart w:id="969" w:name="Tc_4EBI_DHSUEqRNMZLqBKy4A_3_5"/>
      <w:bookmarkStart w:id="970" w:name="Tc_mW5EBQY9YUmEQFCM65-9Sw_3_2"/>
      <w:bookmarkStart w:id="971" w:name="Tc_cyA7F3SdU0aRYMrZlLjRjg_2_8"/>
      <w:bookmarkStart w:id="972" w:name="Tc_mYm4RccSDUKC3YZJgsu0Yw_2_2"/>
      <w:bookmarkStart w:id="973" w:name="Tc_XIhkqh07Zk6ro7qJ55VE7A_1_8"/>
      <w:bookmarkStart w:id="974" w:name="Tc_yfixj6bupkqEajPN_hFHgg_1_2"/>
      <w:bookmarkStart w:id="975" w:name="_2c08ef4e_f5f1_41bb_8620_5b90bd808ed0"/>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r>
        <w:rPr>
          <w:rFonts w:ascii="Times New Roman;Times;serif" w:hAnsi="Times New Roman;Times;serif"/>
          <w:b/>
          <w:sz w:val="20"/>
        </w:rPr>
        <w:t>7. Net Loss per Share of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June 30, 2026, these shares have not been included in the calculation of basic or diluted net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six months ended June 30, 2026 and 2025, as the effect of any potentially dilutive security is anti-dilutive due to the net losses in those periods.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sets forth the computation of basic and dilutive net loss per share: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15"/>
        <w:gridCol w:w="346"/>
        <w:gridCol w:w="211"/>
        <w:gridCol w:w="1141"/>
        <w:gridCol w:w="346"/>
        <w:gridCol w:w="211"/>
        <w:gridCol w:w="1036"/>
        <w:gridCol w:w="109"/>
        <w:gridCol w:w="211"/>
        <w:gridCol w:w="1141"/>
        <w:gridCol w:w="346"/>
        <w:gridCol w:w="211"/>
        <w:gridCol w:w="1081"/>
      </w:tblGrid>
      <w:tr>
        <w:trPr/>
        <w:tc>
          <w:tcPr>
            <w:tcW w:w="3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22525" cy="175260"/>
                      <wp:effectExtent l="0" t="0" r="0" b="0"/>
                      <wp:wrapNone/>
                      <wp:docPr id="135" name="Frame135"/>
                      <a:graphic xmlns:a="http://schemas.openxmlformats.org/drawingml/2006/main">
                        <a:graphicData uri="http://schemas.microsoft.com/office/word/2010/wordprocessingShape">
                          <wps:wsp>
                            <wps:cNvSpPr txBox="1"/>
                            <wps:spPr>
                              <a:xfrm>
                                <a:off x="0" y="0"/>
                                <a:ext cx="242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24535" cy="175260"/>
                      <wp:effectExtent l="0" t="0" r="0" b="0"/>
                      <wp:wrapNone/>
                      <wp:docPr id="138" name="Frame1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57860" cy="175260"/>
                      <wp:effectExtent l="0" t="0" r="0" b="0"/>
                      <wp:wrapNone/>
                      <wp:docPr id="141" name="Frame1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24535" cy="175260"/>
                      <wp:effectExtent l="0" t="0" r="0" b="0"/>
                      <wp:wrapNone/>
                      <wp:docPr id="144" name="Frame1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86435" cy="175260"/>
                      <wp:effectExtent l="0" t="0" r="0" b="0"/>
                      <wp:wrapNone/>
                      <wp:docPr id="147" name="Frame14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9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105,935,254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63,170,918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105,899,684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63,170,918</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shares outstanding above include both common shares and exchangeable shares outstanding at June 30, 2026 and 2025 as these shares are exchangeable on a one-for-one basis into the Company’s common shares and are therefore economically equivalent to common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bookmarkStart w:id="976" w:name="Tc_DvttXtWdiEC1m5_kj9kwNA_7_0"/>
      <w:bookmarkStart w:id="977" w:name="Tc_bhzU78jJp0-my9AZ01Zmhg_6_0"/>
      <w:bookmarkStart w:id="978" w:name="Tc_CeSJk2DhRk-zMDkMlwGmwA_5_12"/>
      <w:bookmarkStart w:id="979" w:name="Tc_8-C7KJ6jj0e7HeS-sI8bsw_5_6"/>
      <w:bookmarkStart w:id="980" w:name="Tc_zKiREUc2wkuBeCLz2Y9FfA_5_0"/>
      <w:bookmarkStart w:id="981" w:name="Tc_PSSlISFI8UugSRMWPwpKIg_4_0"/>
      <w:bookmarkStart w:id="982" w:name="Tc_WPo-MbwJckylvEHY6D8iOA_3_11"/>
      <w:bookmarkStart w:id="983" w:name="Tc_5qwa46QxmUajA5elnTtdlw_3_8"/>
      <w:bookmarkStart w:id="984" w:name="Tc_A9kf4ozBTEmKfLAtrgtBng_3_5"/>
      <w:bookmarkStart w:id="985" w:name="Tc_AVDzZPe7uUuqQtJFIJJPlQ_3_2"/>
      <w:bookmarkStart w:id="986" w:name="Tc_Vq4x8it0EEOCqS4zJmRbSA_2_8"/>
      <w:bookmarkStart w:id="987" w:name="Tc_cnIKs8pQ9UGnn9Rdm2DSVQ_2_2"/>
      <w:bookmarkStart w:id="988" w:name="Tc_upcEBPKz6kyrIyE4MnTHrQ_1_8"/>
      <w:bookmarkStart w:id="989" w:name="Tc_8q23ap1RDE-omlx5gOZHUw_1_2"/>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Times New Roman;Times;serif" w:hAnsi="Times New Roman;Times;serif"/>
          <w:sz w:val="20"/>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 </w:t>
      </w:r>
    </w:p>
    <w:p>
      <w:pPr>
        <w:pStyle w:val="TextBody"/>
        <w:bidi w:val="0"/>
        <w:spacing w:before="0" w:after="0"/>
        <w:ind w:left="0" w:right="0" w:hanging="0"/>
        <w:jc w:val="left"/>
        <w:rPr/>
      </w:pPr>
      <w:r>
        <w:rPr/>
        <w:t>​</w:t>
      </w:r>
    </w:p>
    <w:tbl>
      <w:tblPr>
        <w:tblW w:w="8471" w:type="dxa"/>
        <w:jc w:val="left"/>
        <w:tblInd w:w="0" w:type="dxa"/>
        <w:tblLayout w:type="fixed"/>
        <w:tblCellMar>
          <w:top w:w="0" w:type="dxa"/>
          <w:left w:w="0" w:type="dxa"/>
          <w:bottom w:w="0" w:type="dxa"/>
          <w:right w:w="0" w:type="dxa"/>
        </w:tblCellMar>
      </w:tblPr>
      <w:tblGrid>
        <w:gridCol w:w="2491"/>
        <w:gridCol w:w="346"/>
        <w:gridCol w:w="146"/>
        <w:gridCol w:w="1036"/>
        <w:gridCol w:w="346"/>
        <w:gridCol w:w="146"/>
        <w:gridCol w:w="1036"/>
        <w:gridCol w:w="109"/>
        <w:gridCol w:w="146"/>
        <w:gridCol w:w="1036"/>
        <w:gridCol w:w="346"/>
        <w:gridCol w:w="146"/>
        <w:gridCol w:w="114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81785" cy="175260"/>
                      <wp:effectExtent l="0" t="0" r="0" b="0"/>
                      <wp:wrapNone/>
                      <wp:docPr id="148" name="Frame14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2710" cy="175260"/>
                      <wp:effectExtent l="0" t="0" r="0" b="0"/>
                      <wp:wrapNone/>
                      <wp:docPr id="150" name="Frame1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860" cy="175260"/>
                      <wp:effectExtent l="0" t="0" r="0" b="0"/>
                      <wp:wrapNone/>
                      <wp:docPr id="151" name="Frame1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2710" cy="175260"/>
                      <wp:effectExtent l="0" t="0" r="0" b="0"/>
                      <wp:wrapNone/>
                      <wp:docPr id="153" name="Frame1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57860" cy="175260"/>
                      <wp:effectExtent l="0" t="0" r="0" b="0"/>
                      <wp:wrapNone/>
                      <wp:docPr id="154" name="Frame1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710" cy="175260"/>
                      <wp:effectExtent l="0" t="0" r="0" b="0"/>
                      <wp:wrapNone/>
                      <wp:docPr id="156" name="Frame1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7860" cy="175260"/>
                      <wp:effectExtent l="0" t="0" r="0" b="0"/>
                      <wp:wrapNone/>
                      <wp:docPr id="157"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2710" cy="175260"/>
                      <wp:effectExtent l="0" t="0" r="0" b="0"/>
                      <wp:wrapNone/>
                      <wp:docPr id="159" name="Frame1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4535" cy="175260"/>
                      <wp:effectExtent l="0" t="0" r="0" b="0"/>
                      <wp:wrapNone/>
                      <wp:docPr id="160"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8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8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17,780,905</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19,198,254</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17,780,905</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19,198,254</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1,372,856</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1,372,856</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(public and private)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30,276,119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12,670,143</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30,276,119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12,670,143</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49,429,880</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31,868,397</w:t>
            </w:r>
          </w:p>
        </w:tc>
        <w:tc>
          <w:tcPr>
            <w:tcW w:w="109" w:type="dxa"/>
            <w:tcBorders/>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49,429,880</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31,868,397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Business Combination (the “Current Plan”). As of June 30, 2026, the Current Plan authorizes the Company to award equity awards resulting in the issuance of up to 38,347,872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Current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 subject to the discretion of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recorded stock-based compensation expense for options of $423 and $214 for the three months ended June 30, 2026 and 2025, respectively. The Company has recorded stock-based compensation expense for options of $863 and $394 for the six months ended June 30, 2026 and 2025, respectively. As of June 30, 2026, total compensation expense related to awards not yet recognized was approximately $2,782 which is expected to be recognized over a weighted average period of 1.8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stock-based compensation expense for RSU awards of $2,463 and $0 for the three months ended June 30, 2026 and 2025, respectively. The Company recorded stock-based compensation expense for RSU awards of $4,784 and $0 for the six months ended June 30, 2026 and 2025, respectively. The total unrecognized RSU expense as of June 30, 2026 was $7,384 with a weighted-average period over which it is to be recognized of 1.2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United States federal and state taxes as well as other foreign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and 2025, the Company recorded a provision for income taxes of $78 and $0, which represented an effective tax rate of (0.8%) and 0%, respectively. During the six months ended June 30, 2026 and 2025, the Company recorded a provision for income taxes of $115 and $0, which represented an effective tax rate of (0.6%) and 0%, respectively.  The effective income tax rates for both the three months and six months ended June 30, 2026 and 2025 are different from the U.S. federal statutory rate of 21.0% due to the valuation allowance.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bookmarkStart w:id="990" w:name="Tc_TBpBp0rVhUG4jULVqvwlhQ_5_5"/>
      <w:bookmarkStart w:id="991" w:name="Tc_nGYH8uPiI062z85vdWpCzg_5_2"/>
      <w:bookmarkStart w:id="992" w:name="Tc_PjaQ7ahJdEqRC2jm85ybrA_5_0"/>
      <w:bookmarkStart w:id="993" w:name="Tc_T-oV31OynU6EOz97hWhsiw_4_0"/>
      <w:bookmarkStart w:id="994" w:name="Tc_hWDjrP0bLUqDXIx9ifl5NQ_3_5"/>
      <w:bookmarkStart w:id="995" w:name="Tc_G9dji6LHS0KzIJSHr_22_Q_3_2"/>
      <w:bookmarkStart w:id="996" w:name="Tc_p1z1Kprn5EKk4Kw-r-fmrw_3_0"/>
      <w:bookmarkStart w:id="997" w:name="Tc_TXs-Kc9X4UeUjRz0yaqrYg_2_5"/>
      <w:bookmarkStart w:id="998" w:name="Tc_GC_xK0s79kuuC3O5RaC6rw_2_2"/>
      <w:bookmarkStart w:id="999" w:name="Tc_DTYs49g8vUGUxRywwQk9HA_1_5"/>
      <w:bookmarkStart w:id="1000" w:name="Tc_nSDIXuWboE-Dgtyi9iBK-g_1_2"/>
      <w:bookmarkStart w:id="1001" w:name="Tc_4yW5JOWaIkiQQbOsFgQkZg_8_11"/>
      <w:bookmarkStart w:id="1002" w:name="Tc_d5PAxixYWk6o_I8LI6qdEw_8_8"/>
      <w:bookmarkStart w:id="1003" w:name="Tc_AGgdamVrr0eDwpRvOn9otw_8_5"/>
      <w:bookmarkStart w:id="1004" w:name="Tc_Cr_NGj44xEilafl67CK3GA_8_2"/>
      <w:bookmarkStart w:id="1005" w:name="Tc_Chbn8ADE10iKUbVRcI7mzQ_8_0"/>
      <w:bookmarkStart w:id="1006" w:name="Tc_IGVdK22k0EiWDwYYsYKz-Q_7_0"/>
      <w:bookmarkStart w:id="1007" w:name="Tc_s-LG1aS6dUmb1BRw6vB4uw_6_0"/>
      <w:bookmarkStart w:id="1008" w:name="Tc_-XNnHhizdUO1F0hXK3PCUw_5_0"/>
      <w:bookmarkStart w:id="1009" w:name="Tc_SITl6QVGY0SWS_khfFrIkg_4_11"/>
      <w:bookmarkStart w:id="1010" w:name="Tc_K-6BiYmUj0OeDuBdRDpFlA_4_8"/>
      <w:bookmarkStart w:id="1011" w:name="Tc_J9d7gYBpfkq6toAkIfOr_g_4_5"/>
      <w:bookmarkStart w:id="1012" w:name="Tc_WitMixCaHkKOJfyFwrqF4Q_4_2"/>
      <w:bookmarkStart w:id="1013" w:name="Tc_x8niCfuPzUio7caKnAZ8sA_4_0"/>
      <w:bookmarkStart w:id="1014" w:name="Tc_hp7uVvZoAEGMZy8obH2ANg_3_11"/>
      <w:bookmarkStart w:id="1015" w:name="Tc_0GfpHI5_SkiSnar921T37g_3_8"/>
      <w:bookmarkStart w:id="1016" w:name="Tc_FNykMFA34UydPbnJWerF5Q_3_5"/>
      <w:bookmarkStart w:id="1017" w:name="Tc__rC8kxlvcUW-pU1dzXfgOg_3_2"/>
      <w:bookmarkStart w:id="1018" w:name="Tc_V-F-AO8rXkGNPx9dkkKsHw_2_8"/>
      <w:bookmarkStart w:id="1019" w:name="Tc_Qa3If_zdrEi03fYQTs7uBA_2_2"/>
      <w:bookmarkStart w:id="1020" w:name="Tc_eg-IDixqWki96d5RYnYlIg_1_8"/>
      <w:bookmarkStart w:id="1021" w:name="Tc_WRTeUG55WECDnJyJPdI5bQ_1_2"/>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r>
        <w:rPr>
          <w:rFonts w:ascii="Times New Roman;Times;serif" w:hAnsi="Times New Roman;Times;serif"/>
          <w:b/>
          <w:sz w:val="20"/>
        </w:rPr>
        <w:t>10.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pStyle w:val="TextBody"/>
        <w:bidi w:val="0"/>
        <w:spacing w:before="0" w:after="240"/>
        <w:ind w:left="0" w:right="0" w:hanging="0"/>
        <w:jc w:val="left"/>
        <w:rPr/>
      </w:pPr>
      <w:r>
        <w:rPr/>
        <w:t>​</w:t>
      </w:r>
    </w:p>
    <w:tbl>
      <w:tblPr>
        <w:tblW w:w="7786" w:type="dxa"/>
        <w:jc w:val="left"/>
        <w:tblInd w:w="0" w:type="dxa"/>
        <w:tblLayout w:type="fixed"/>
        <w:tblCellMar>
          <w:top w:w="0" w:type="dxa"/>
          <w:left w:w="0" w:type="dxa"/>
          <w:bottom w:w="0" w:type="dxa"/>
          <w:right w:w="0" w:type="dxa"/>
        </w:tblCellMar>
      </w:tblPr>
      <w:tblGrid>
        <w:gridCol w:w="3091"/>
        <w:gridCol w:w="346"/>
        <w:gridCol w:w="211"/>
        <w:gridCol w:w="676"/>
        <w:gridCol w:w="346"/>
        <w:gridCol w:w="211"/>
        <w:gridCol w:w="571"/>
        <w:gridCol w:w="109"/>
        <w:gridCol w:w="211"/>
        <w:gridCol w:w="676"/>
        <w:gridCol w:w="346"/>
        <w:gridCol w:w="211"/>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62785" cy="175260"/>
                      <wp:effectExtent l="0" t="0" r="0" b="0"/>
                      <wp:wrapNone/>
                      <wp:docPr id="161" name="Frame16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significant non-cash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geographic location of long-lived assets is as follows:</w:t>
      </w:r>
    </w:p>
    <w:p>
      <w:pPr>
        <w:pStyle w:val="TextBody"/>
        <w:bidi w:val="0"/>
        <w:spacing w:before="0" w:after="0"/>
        <w:ind w:left="0" w:right="0" w:hanging="0"/>
        <w:jc w:val="left"/>
        <w:rPr/>
      </w:pPr>
      <w:r>
        <w:rPr/>
        <w:t>​</w:t>
      </w:r>
    </w:p>
    <w:tbl>
      <w:tblPr>
        <w:tblW w:w="3815" w:type="dxa"/>
        <w:jc w:val="left"/>
        <w:tblInd w:w="0" w:type="dxa"/>
        <w:tblLayout w:type="fixed"/>
        <w:tblCellMar>
          <w:top w:w="0" w:type="dxa"/>
          <w:left w:w="0" w:type="dxa"/>
          <w:bottom w:w="0" w:type="dxa"/>
          <w:right w:w="0" w:type="dxa"/>
        </w:tblCellMar>
      </w:tblPr>
      <w:tblGrid>
        <w:gridCol w:w="1201"/>
        <w:gridCol w:w="346"/>
        <w:gridCol w:w="211"/>
        <w:gridCol w:w="571"/>
        <w:gridCol w:w="346"/>
        <w:gridCol w:w="271"/>
        <w:gridCol w:w="869"/>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62635" cy="175260"/>
                      <wp:effectExtent l="0" t="0" r="0" b="0"/>
                      <wp:wrapNone/>
                      <wp:docPr id="174" name="Frame1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2085" cy="175260"/>
                      <wp:effectExtent l="0" t="0" r="0" b="0"/>
                      <wp:wrapNone/>
                      <wp:docPr id="179" name="Frame17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51815" cy="175260"/>
                      <wp:effectExtent l="0" t="0" r="0" b="0"/>
                      <wp:wrapNone/>
                      <wp:docPr id="180" name="Frame18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3,196</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Litigation and loss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the Company may be subject to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contractual rights. There are no currently pending legal proceedings that the Company believes will have a material adverse impact on the business or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12.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from June 30, 2026, the date of these condensed consolidated financial statements, through August 11,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22" w:name="Item2ManagementsDiscussionandAnalysisofF"/>
      <w:bookmarkStart w:id="1023" w:name="_bb81c63e_394b_48bb_9d67_e61b3d641df3"/>
      <w:bookmarkEnd w:id="1022"/>
      <w:bookmarkEnd w:id="1023"/>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“our”, its”, “Terrestrial Energy”, or the “Company” refer to Terrestrial Energy Inc. and its subsidiaries.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for the three and six months ended June 30, 2026 and 2025, should be read together with our unaudited condensed consolidated financial statements and related notes included elsewhere in this Quarterly Report and in conjunction with the audited consolidated financial statements and notes thereto included in our Annual Report on Form 10-K for the fiscal year ended December 31, 2025, which was filed on March 30, 2026. The following discussion contains “forward-looking statements” that reflect our future plans, estimates, beliefs and expected performance. Our actual results may differ materially from those currently anticipated and expressed in such forward-looking statements as a result of a number of factors. We caution that assumptions, expectations, projections, intentions or beliefs about future events may, and often do, vary from actual results and the differences can be material. All amounts in the below discussion and analysis are in thousands except share and per share data or where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that the operational advantages accruing from reactor technology and plant design choices place the IMSR Plant competitively in a large and growing serviceable addressable market valued at $1.6 trillion today in Organization for Economic Co-operation and Development (OECD) countries. This market includes both clean, firm, and high-temperature thermal energy, and grid-based electric power supply, across a wide range of industrial and grid applications.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conflict in Ukraine and the conflict in Iran, by national energy policy objectives particularly in the US, and by a broad realization that net-zero is not feasible without a massive expansion in nuclear energy supply as evidenced by declarations at COP28 in Dubai.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History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December 2025 and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April 23, 2026, the Company announced the submission of a foundational safety analysis report to the U.S. Nuclear Regulatory Commission (NRC) defining the safety events the IMSR is designed to withstand. This submission is a required step toward NRC issuance of a Safety Evaluation Report and future licensing applications for IMSR plant operations. This submission builds on prior regulatory milestones, including the NRC’s issuance of a Safety Evaluation for the IMSR’s Principal Design Criteria in September 2025. Together, these foundational elements establish critical components of the IMSR licensing basis and support continued advancement toward deployment including validation of key design attributes such as inherent reactivity control that delivers a reactor with inherently stable power dynamics.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6, 2026, the Company announced a collaboration with Riot Platforms Inc. (“Riot”) to develop nuclear-powered large-scale data center projects. This partnership combines Terrestrial Energy’s nuclear plant design and licensing expertise with Riot’s expertise in data center design, development, and operations. Riot’s veteran data center development team has experience developing and delivering hyperscale data centers with collective experience spanning design, engineering, construction, operations, marketing, and leasing. Terrestrial Energy and Riot will evaluate scaling optimized configurations of IMSR Plant power supply and data center operations at candidate sites utilizing Riot’s completed data center Basis of Design optimized for large-scale hyperscale tenants.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12, 2026, the Company announced the NRC issued its Safety Evaluation Report (SER) approving the Company’s Postulated Initiating Events (PIE) Topical Report, following the NRC’s acceptance of the Company’s final Topical Report submission in April 2026. The NRC’s SER issuance is an approval of Terrestrial Energy’s PIE methodology, which identifies and evaluates events that may challenge the safe operation of IMSR nuclear plant. This analysis is foundational to nuclear safety analysis and represents another important regulatory milestone as Terrestrial Energy executes on its nuclear regulatory program.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June 18, 2026, the Company signed ground lease and R&amp;D agreements with Texas A&amp;M University System. These agreements provide exclusive access and rights to approximately 77 acres at the Texas A&amp;M-RELLIS campus in Bryan, Texas, facilitate testing activities, and cover multiple projects, including the planned commercial IMSR Plan at A&amp;M-RELLIS.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(in thousands, except for share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 the three and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our condensed consolidated statements of operations for the three and six month periods ended June 30, 2026 and 2025, and the dollar and percentage change between the two periods:</w:t>
      </w:r>
    </w:p>
    <w:p>
      <w:pPr>
        <w:pStyle w:val="TextBody"/>
        <w:bidi w:val="0"/>
        <w:spacing w:before="0" w:after="240"/>
        <w:ind w:left="0" w:right="0" w:hanging="0"/>
        <w:jc w:val="both"/>
        <w:rPr/>
      </w:pPr>
      <w:r>
        <w:rPr/>
        <w:t>​</w:t>
      </w:r>
    </w:p>
    <w:tbl>
      <w:tblPr>
        <w:tblW w:w="7882" w:type="dxa"/>
        <w:jc w:val="left"/>
        <w:tblInd w:w="0" w:type="dxa"/>
        <w:tblLayout w:type="fixed"/>
        <w:tblCellMar>
          <w:top w:w="0" w:type="dxa"/>
          <w:left w:w="0" w:type="dxa"/>
          <w:bottom w:w="0" w:type="dxa"/>
          <w:right w:w="0" w:type="dxa"/>
        </w:tblCellMar>
      </w:tblPr>
      <w:tblGrid>
        <w:gridCol w:w="2761"/>
        <w:gridCol w:w="346"/>
        <w:gridCol w:w="211"/>
        <w:gridCol w:w="796"/>
        <w:gridCol w:w="346"/>
        <w:gridCol w:w="211"/>
        <w:gridCol w:w="691"/>
        <w:gridCol w:w="346"/>
        <w:gridCol w:w="841"/>
        <w:gridCol w:w="146"/>
        <w:gridCol w:w="871"/>
        <w:gridCol w:w="31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53235" cy="175260"/>
                      <wp:effectExtent l="0" t="0" r="0" b="0"/>
                      <wp:wrapNone/>
                      <wp:docPr id="181" name="Frame18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34035" cy="175260"/>
                      <wp:effectExtent l="0" t="0" r="0" b="0"/>
                      <wp:wrapNone/>
                      <wp:docPr id="189" name="Frame1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90" name="Frame1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3085" cy="175260"/>
                      <wp:effectExtent l="0" t="0" r="0" b="0"/>
                      <wp:wrapNone/>
                      <wp:docPr id="191" name="Frame19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0660" cy="175260"/>
                      <wp:effectExtent l="0" t="0" r="0" b="0"/>
                      <wp:wrapNone/>
                      <wp:docPr id="192" name="Frame1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5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8578" w:type="dxa"/>
        <w:jc w:val="left"/>
        <w:tblInd w:w="0" w:type="dxa"/>
        <w:tblLayout w:type="fixed"/>
        <w:tblCellMar>
          <w:top w:w="0" w:type="dxa"/>
          <w:left w:w="0" w:type="dxa"/>
          <w:bottom w:w="0" w:type="dxa"/>
          <w:right w:w="0" w:type="dxa"/>
        </w:tblCellMar>
      </w:tblPr>
      <w:tblGrid>
        <w:gridCol w:w="2761"/>
        <w:gridCol w:w="346"/>
        <w:gridCol w:w="211"/>
        <w:gridCol w:w="796"/>
        <w:gridCol w:w="346"/>
        <w:gridCol w:w="211"/>
        <w:gridCol w:w="796"/>
        <w:gridCol w:w="346"/>
        <w:gridCol w:w="841"/>
        <w:gridCol w:w="346"/>
        <w:gridCol w:w="916"/>
        <w:gridCol w:w="271"/>
        <w:gridCol w:w="39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53235" cy="175260"/>
                      <wp:effectExtent l="0" t="0" r="0" b="0"/>
                      <wp:wrapNone/>
                      <wp:docPr id="193" name="Frame19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96"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9" name="Frame1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4035" cy="175260"/>
                      <wp:effectExtent l="0" t="0" r="0" b="0"/>
                      <wp:wrapNone/>
                      <wp:docPr id="201" name="Frame20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81660" cy="175260"/>
                      <wp:effectExtent l="0" t="0" r="0" b="0"/>
                      <wp:wrapNone/>
                      <wp:docPr id="203" name="Frame20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2085" cy="175260"/>
                      <wp:effectExtent l="0" t="0" r="0" b="0"/>
                      <wp:wrapNone/>
                      <wp:docPr id="204" name="Frame2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8285" cy="175260"/>
                      <wp:effectExtent l="0" t="0" r="0" b="0"/>
                      <wp:wrapNone/>
                      <wp:docPr id="205" name="Frame20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80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271" w:type="dxa"/>
            <w:tcBorders/>
            <w:vAlign w:val="center"/>
          </w:tcPr>
          <w:p>
            <w:pPr>
              <w:pStyle w:val="TableContents"/>
              <w:bidi w:val="0"/>
              <w:spacing w:before="0" w:after="1"/>
              <w:ind w:left="0" w:right="0" w:hanging="0"/>
              <w:jc w:val="center"/>
              <w:rPr/>
            </w:pPr>
            <w:r>
              <w:rPr/>
              <w:t> </w:t>
            </w:r>
          </w:p>
        </w:tc>
        <w:tc>
          <w:tcPr>
            <w:tcW w:w="391" w:type="dxa"/>
            <w:tcBorders/>
            <w:vAlign w:val="center"/>
          </w:tcPr>
          <w:p>
            <w:pPr>
              <w:pStyle w:val="TableContents"/>
              <w:bidi w:val="0"/>
              <w:spacing w:before="0" w:after="1"/>
              <w:ind w:left="0" w:right="0" w:hanging="0"/>
              <w:jc w:val="left"/>
              <w:rPr/>
            </w:pPr>
            <w:r>
              <w:rPr/>
              <w:t>  ​ ​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8,513</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(7,286)</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(7,401)</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represent costs incurred for designing and engineering the IMSR Plant, including the costs of developing design tools. All research and development costs related to product development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 for the three months ended June 30, 2026 and 2025 was $3,498 and $1,441, respectively. R&amp;D expense for the six months ended June 30, 2026 and 2025 was $8,064 and $2,849,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 for the three months ended June 30, 2026 and 2025 was $8,029 and $3,531, respectively. General and administrative expense for the six months ended June 30, 2026 and 2025 was $15,333 and $6,820, respectively. The increase is primarily attributable to additional stock-based compensation expense associated with stock options and restricted stock units issued, along with overall operational growth including headcount as part of the business growth strategy.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consists primarily of depreciation of our computer software and equipment and amortization of our patents and 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for the three months ended June 30, 2026 and 2025 was $145 and $198, respectively. Depreciation and amortization expense for the six months ended June 30, 2026 and 2025 was $206 and $379, respectively. The decrease is attributed to a reduction in total net depreciable fixed assets, as the Company had assets which were fully depreciated in fiscal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and Interest expense —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expense and interest expense — related parties decreased by $1,329, or 100%, when comparing the results for the three months ended June 30, 2026 and 2025, and by $2,697, or 100%, when comparing the results for the six months ended June 30, 2026 and 2025. The decrease was primarily due to conversion of convertible notes by the Company in the fourth quarter of 2025, resulting in no debt outstanding or accruing interest in the first two quarters of 2026.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and Dividend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dividend income increased by $2,473 for the three months ended June 30, 2026 when compared to the same period in 2025, and by $3,923 for the six months ended June 30, 2026 when compared to the same period in 2025, as a result of higher short-term investment and long-term investment balances.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Historically, the Company’s primary sources of liquidity have been cash flows from private fundraising offerings to related parties or other investors and other financing activities to fund operations. For the six months ended June 30, 2026 and 2025, the Company reported operating losses of $23,603 and $10,048, respectively, and negative cash flows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of $14,794 and $6,885, respectively. As of June 30, 2026, the Company had $130,737 in cash and cash equivalents and $142,781 in short-term investments. The Company had net working capital of $268,621 and an accumulated deficit of $144,527. Management expects that significant on-going expenditures will be necessary to successfully implement our business plan.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“PIPE”) and approximately $242,000 from HCM II’s trust account following redemptions of less than 1%.</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from the issuance date of these condensed consolidated financial statements after August 11, 2026 and beyond based on current operating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cash flows from operating, investing and financing activities for the six months ended June 30, 2026 and 2025:</w:t>
      </w:r>
    </w:p>
    <w:tbl>
      <w:tblPr>
        <w:tblW w:w="7193" w:type="dxa"/>
        <w:jc w:val="left"/>
        <w:tblInd w:w="0" w:type="dxa"/>
        <w:tblLayout w:type="fixed"/>
        <w:tblCellMar>
          <w:top w:w="0" w:type="dxa"/>
          <w:left w:w="0" w:type="dxa"/>
          <w:bottom w:w="0" w:type="dxa"/>
          <w:right w:w="0" w:type="dxa"/>
        </w:tblCellMar>
      </w:tblPr>
      <w:tblGrid>
        <w:gridCol w:w="4201"/>
        <w:gridCol w:w="346"/>
        <w:gridCol w:w="211"/>
        <w:gridCol w:w="796"/>
        <w:gridCol w:w="346"/>
        <w:gridCol w:w="211"/>
        <w:gridCol w:w="691"/>
        <w:gridCol w:w="39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667635" cy="175260"/>
                      <wp:effectExtent l="0" t="0" r="0" b="0"/>
                      <wp:wrapNone/>
                      <wp:docPr id="206" name="Frame206"/>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5460" cy="175260"/>
                      <wp:effectExtent l="0" t="0" r="0" b="0"/>
                      <wp:wrapNone/>
                      <wp:docPr id="209" name="Frame2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8785" cy="175260"/>
                      <wp:effectExtent l="0" t="0" r="0" b="0"/>
                      <wp:wrapNone/>
                      <wp:docPr id="212" name="Frame2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8285" cy="175260"/>
                      <wp:effectExtent l="0" t="0" r="0" b="0"/>
                      <wp:wrapNone/>
                      <wp:docPr id="213" name="Frame2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91" w:type="dxa"/>
            <w:tcBorders/>
            <w:vAlign w:val="center"/>
          </w:tcPr>
          <w:p>
            <w:pPr>
              <w:pStyle w:val="TableContents"/>
              <w:bidi w:val="0"/>
              <w:spacing w:before="0" w:after="1"/>
              <w:ind w:left="0" w:right="0" w:hanging="0"/>
              <w:jc w:val="lef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36,695</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$14,794 compared to $6,885 for the six months ended June 30, 2025, an increase of $7,909. The increase was primarily due to an increase in the Company’s operating loss after non-cash items. The cause of the increase in the Company’s operating loss was an increase in engineering costs and general and administrative costs as discussed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provided by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for the six months ended June 30, 2026 was $48,450 compared to net cash used in investing activities of $552 for the six months ended June 30, 2025. The increase was primarily related to redemptions of short-term investments, partially offset by purchases of short-term and long-term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provided by financing activities for the six months ended June 30, 2026 was $140 compared to $36,695 for the six months ended June 30, 2025, a decrease of $36,555. The decrease was a result of issuances of convertible notes of $10,985 and the $25,797 advanced proceeds received relating to shares of Preferred Stock prior to the closing of private placement in the six months ended June 30, 2025 as compared to $0 in the current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 II, Item 7, Management’s Discussion and Analysis of Financial Condition and Results of Operation in our Annual Report on Form 10-K for the fiscal year ended December 31, 2025 provides a more complete discussion of our critical accounting policies and estimates.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no adoption of any new accounting pronouncements.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expects to retain its emerging growth company status until the earliest of:</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its annual revenues exceed $1.2</w:t>
            </w:r>
            <w:r>
              <w:rPr>
                <w:caps w:val="false"/>
                <w:smallCaps w:val="false"/>
              </w:rPr>
              <w:t> </w:t>
            </w:r>
            <w:r>
              <w:rPr>
                <w:rFonts w:ascii="Times New Roman;Times;serif" w:hAnsi="Times New Roman;Times;serif"/>
                <w:b w:val="false"/>
                <w:i w:val="false"/>
                <w:caps w:val="false"/>
                <w:smallCaps w:val="false"/>
                <w:sz w:val="20"/>
              </w:rPr>
              <w:t>billion;</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the fifth anniversary of its public company registration has occurred;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date on which it has issued more than $1.0</w:t>
            </w:r>
            <w:r>
              <w:rPr>
                <w:caps w:val="false"/>
                <w:smallCaps w:val="false"/>
              </w:rPr>
              <w:t> </w:t>
            </w:r>
            <w:r>
              <w:rPr>
                <w:rFonts w:ascii="Times New Roman;Times;serif" w:hAnsi="Times New Roman;Times;serif"/>
                <w:b w:val="false"/>
                <w:i w:val="false"/>
                <w:caps w:val="false"/>
                <w:smallCaps w:val="false"/>
                <w:sz w:val="20"/>
              </w:rPr>
              <w:t>billion in non-convertible debt during the previous three-year period; and</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it qualifies as a large accelerated filer.</w:t>
            </w:r>
          </w:p>
        </w:tc>
      </w:tr>
    </w:tbl>
    <w:p>
      <w:pPr>
        <w:pStyle w:val="TextBody"/>
        <w:bidi w:val="0"/>
        <w:spacing w:before="0" w:after="160"/>
        <w:ind w:left="0" w:right="0" w:hanging="0"/>
        <w:jc w:val="left"/>
        <w:rPr>
          <w:rFonts w:ascii="Times New Roman;Times;serif" w:hAnsi="Times New Roman;Times;serif"/>
          <w:b/>
          <w:sz w:val="20"/>
        </w:rPr>
      </w:pPr>
      <w:bookmarkStart w:id="1024" w:name="Item3QuantitativeandQualitativeDisclosur"/>
      <w:bookmarkStart w:id="1025" w:name="_12c08a37_94bb_4c5f_bdc4_46afeb2e35f7"/>
      <w:bookmarkEnd w:id="1024"/>
      <w:bookmarkEnd w:id="1025"/>
      <w:r>
        <w:rPr>
          <w:rFonts w:ascii="Times New Roman;Times;serif" w:hAnsi="Times New Roman;Times;serif"/>
          <w:b/>
          <w:sz w:val="20"/>
        </w:rPr>
        <w:t>Item 3. Quantitative and Qualitative Disclosures About Market Risk</w:t>
      </w:r>
    </w:p>
    <w:p>
      <w:pPr>
        <w:pStyle w:val="TextBody"/>
        <w:bidi w:val="0"/>
        <w:spacing w:before="0" w:after="16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1026" w:name="Item4ControlsandProcedures_598182"/>
      <w:bookmarkStart w:id="1027" w:name="_1468bbed_2f50_461d_9588_ffd14572e33d"/>
      <w:bookmarkEnd w:id="1026"/>
      <w:bookmarkEnd w:id="1027"/>
      <w:r>
        <w:rPr>
          <w:rFonts w:ascii="Times New Roman;Times;serif" w:hAnsi="Times New Roman;Times;serif"/>
          <w:b/>
          <w:sz w:val="20"/>
        </w:rPr>
        <w:t>Item 4. Controls and Procedures</w:t>
      </w:r>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the Company’s management, including our Chief Executive Officer and Chief Financial Officer (together, the “Certifying Officers”), or persons performing similar functions, as appropriate, to allow timely decisions regarding required disclosure.</w:t>
      </w:r>
    </w:p>
    <w:p>
      <w:pPr>
        <w:pStyle w:val="TextBody"/>
        <w:shd w:fill="FFFFFF" w:val="clear"/>
        <w:bidi w:val="0"/>
        <w:spacing w:before="0" w:after="0"/>
        <w:ind w:left="0" w:right="0" w:firstLine="720"/>
        <w:jc w:val="both"/>
        <w:rPr/>
      </w:pPr>
      <w:r>
        <w:rPr/>
        <w:t> </w:t>
      </w:r>
      <w:r>
        <w:rPr>
          <w:rFonts w:ascii="Times New Roman;Times;serif" w:hAnsi="Times New Roman;Times;serif"/>
          <w:sz w:val="20"/>
        </w:rPr>
        <w:t xml:space="preserve">Under the supervision and with the participation of our management, including our Certifying Officers, we carried out an evaluation of the effectiveness of the design and operation of our disclosure controls and procedures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defined in Rules 13a-15(e) and 15d-15(e) under the Exchange Act. Based on the foregoing, our Certifying Officers concluded that our disclosure controls and procedures were effective as of the end of June 30, 2026. Accordingly, Management believes that the financial statements contained elsewhere in this Report present fairly in all material respects our financial position, results of operations and cash flows for the period presented.</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our continued monitoring and maintenance of our control procedures as part of the implementation of Section 404 of the Sarbanes-Oxley Act of 2002, as amended, we continue to review, test, and improve the effectiveness of our internal controls. There have not been any changes in our internal control over financial reporting (as such term is defined in Rules 13a-15(f) and 15d-15(f) under the Exchange Act) that occurred during the three months ended June 30, 2026 that have materially affected, or are reasonably likely to materially affect, our internal control over financial reporting.</w:t>
      </w:r>
    </w:p>
    <w:p>
      <w:pPr>
        <w:pStyle w:val="TextBody"/>
        <w:shd w:fill="FFFFFF" w:val="clear"/>
        <w:bidi w:val="0"/>
        <w:spacing w:before="0" w:after="240"/>
        <w:ind w:left="0" w:right="0" w:firstLine="72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28" w:name="PARTIIOTHERINFORMATION_690738"/>
      <w:bookmarkStart w:id="1029" w:name="_100df8bf_f1f4_4210_ab14_e529d47c6195"/>
      <w:bookmarkEnd w:id="1028"/>
      <w:bookmarkEnd w:id="1029"/>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30" w:name="Item1LegalProceedings_371811"/>
      <w:bookmarkEnd w:id="1030"/>
      <w:r>
        <w:rPr>
          <w:rFonts w:ascii="Times New Roman;Times;serif" w:hAnsi="Times New Roman;Times;serif"/>
          <w:b/>
          <w:sz w:val="20"/>
        </w:rPr>
        <w:t>Item 1.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 </w:t>
      </w:r>
    </w:p>
    <w:p>
      <w:pPr>
        <w:pStyle w:val="TextBody"/>
        <w:bidi w:val="0"/>
        <w:spacing w:before="0" w:after="240"/>
        <w:ind w:left="0" w:right="0" w:hanging="0"/>
        <w:jc w:val="left"/>
        <w:rPr>
          <w:rFonts w:ascii="Times New Roman;Times;serif" w:hAnsi="Times New Roman;Times;serif"/>
          <w:b/>
          <w:sz w:val="20"/>
        </w:rPr>
      </w:pPr>
      <w:bookmarkStart w:id="1031" w:name="Item1ARiskFactors_559442"/>
      <w:bookmarkStart w:id="1032" w:name="_f7004fd5_a7b2_4218_b42a_4802d9480d9a"/>
      <w:bookmarkEnd w:id="1031"/>
      <w:bookmarkEnd w:id="1032"/>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There are numerous factors that affect our business and operating results, many of which are beyond our control. Except as provided below, there are no material changes to the risk factors previously disclosed under the “Risk Factors” section in Terrestrial Energy Inc.’s Annual Report on Form 10-K for the fiscal year ended December 31, 2025.</w:t>
      </w:r>
    </w:p>
    <w:p>
      <w:pPr>
        <w:pStyle w:val="TextBody"/>
        <w:bidi w:val="0"/>
        <w:spacing w:before="0" w:after="240"/>
        <w:ind w:left="0" w:right="0" w:hanging="0"/>
        <w:jc w:val="left"/>
        <w:rPr>
          <w:rFonts w:ascii="Times New Roman;Times;serif" w:hAnsi="Times New Roman;Times;serif"/>
          <w:b/>
          <w:sz w:val="20"/>
        </w:rPr>
      </w:pPr>
      <w:bookmarkStart w:id="1033" w:name="Item2UnregisteredSalesofEquitySecurities"/>
      <w:bookmarkStart w:id="1034" w:name="_3e162119_7607_4a74_8dea_f03c961ef2b2"/>
      <w:bookmarkEnd w:id="1033"/>
      <w:bookmarkEnd w:id="1034"/>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5" w:name="Item3DefaultsUponSeniorSecurities_814057"/>
      <w:bookmarkStart w:id="1036" w:name="_4986405d_2d9d_4843_bf1b_7c9820ea052c"/>
      <w:bookmarkEnd w:id="1035"/>
      <w:bookmarkEnd w:id="1036"/>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37" w:name="Item4MineSafetyDisclosures_568459"/>
      <w:bookmarkStart w:id="1038" w:name="_9db41e5b_8930_42f3_b53e_480ef06b6df6"/>
      <w:bookmarkEnd w:id="1037"/>
      <w:bookmarkEnd w:id="1038"/>
      <w:r>
        <w:rPr>
          <w:rFonts w:ascii="Times New Roman;Times;serif" w:hAnsi="Times New Roman;Times;serif"/>
          <w:b/>
          <w:sz w:val="20"/>
        </w:rPr>
        <w:t>Item 4. Mine Safety Disclosures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39" w:name="Item5OtherInformation_644059"/>
      <w:bookmarkStart w:id="1040" w:name="_bda45f85_86da_4fb9_bd86_59e928b6721c"/>
      <w:bookmarkEnd w:id="1039"/>
      <w:bookmarkEnd w:id="1040"/>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Rule 10b5-1 Trading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stated below, none of the Company’s directors or executive officers adopted, modified or terminated any “Rule 10b5-1 trading arrangement” or any “non-Rule 10b5-1 trading arrangement,” as each term is defined in Item 408 of Regulation S-K, during the three 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2026, Simon Irish, the Company’s Chief Executive Officer, adopted a Rule 10b5-1 trading arrangement (the “Trading Arrangement”) intended to satisfy the affirmative defense conditions of Rule 10b5-1(c) under the Exchange Act. The Trading Arrangement is intended to provide for “eligible sell-to-cover transactions” (as described in Rule10b5-(c)(1)(ii)(D)(3) under the Exchange Act) to satisfy tax withholding obligations arising exclusively from the vesting of equity awards and related issuance of shares of the Company’s common stock. The number of shares that will be sold to satisfy applicable tax withholding obligations upon vesting is not currently determinable as the number will vary based on the market price of the Company’s common stock and the extent to which vesting conditions are satisfied.</w:t>
      </w:r>
    </w:p>
    <w:p>
      <w:pPr>
        <w:pStyle w:val="TextBody"/>
        <w:bidi w:val="0"/>
        <w:spacing w:before="0" w:after="240"/>
        <w:ind w:left="0" w:right="0" w:hanging="0"/>
        <w:jc w:val="left"/>
        <w:rPr>
          <w:rFonts w:ascii="Times New Roman;Times;serif" w:hAnsi="Times New Roman;Times;serif"/>
          <w:b/>
          <w:sz w:val="20"/>
        </w:rPr>
      </w:pPr>
      <w:bookmarkStart w:id="1041" w:name="Item6Exhibits_92354"/>
      <w:bookmarkStart w:id="1042" w:name="_b6d16817_5ddd_4b28_b11d_168805321d8e"/>
      <w:bookmarkEnd w:id="1041"/>
      <w:bookmarkEnd w:id="1042"/>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3" w:name="EXHIBITINDEX_843050"/>
      <w:bookmarkStart w:id="1044" w:name="_b5358afe_678a_4699_b43e_07ab8fd5616e"/>
      <w:bookmarkEnd w:id="1043"/>
      <w:bookmarkEnd w:id="1044"/>
      <w:r>
        <w:rPr>
          <w:rFonts w:ascii="Times New Roman;Times;serif" w:hAnsi="Times New Roman;Times;serif"/>
          <w:b/>
          <w:sz w:val="20"/>
        </w:rPr>
        <w:t>EXHIBIT INDEX</w:t>
      </w:r>
    </w:p>
    <w:tbl>
      <w:tblPr>
        <w:tblW w:w="10205" w:type="dxa"/>
        <w:jc w:val="left"/>
        <w:tblInd w:w="0" w:type="dxa"/>
        <w:tblLayout w:type="fixed"/>
        <w:tblCellMar>
          <w:top w:w="0" w:type="dxa"/>
          <w:left w:w="0" w:type="dxa"/>
          <w:bottom w:w="0" w:type="dxa"/>
          <w:right w:w="0" w:type="dxa"/>
        </w:tblCellMar>
      </w:tblPr>
      <w:tblGrid>
        <w:gridCol w:w="883"/>
        <w:gridCol w:w="346"/>
        <w:gridCol w:w="8976"/>
      </w:tblGrid>
      <w:tr>
        <w:trPr/>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60705" cy="175260"/>
                      <wp:effectExtent l="0" t="0" r="0" b="0"/>
                      <wp:wrapNone/>
                      <wp:docPr id="214" name="Frame214"/>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99760" cy="175260"/>
                      <wp:effectExtent l="0" t="0" r="0" b="0"/>
                      <wp:wrapNone/>
                      <wp:docPr id="215" name="Frame215"/>
                      <a:graphic xmlns:a="http://schemas.openxmlformats.org/drawingml/2006/main">
                        <a:graphicData uri="http://schemas.microsoft.com/office/word/2010/wordprocessingShape">
                          <wps:wsp>
                            <wps:cNvSpPr txBox="1"/>
                            <wps:spPr>
                              <a:xfrm>
                                <a:off x="0" y="0"/>
                                <a:ext cx="569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346" w:type="dxa"/>
            <w:tcBorders/>
            <w:vAlign w:val="center"/>
          </w:tcPr>
          <w:p>
            <w:pPr>
              <w:pStyle w:val="TableContents"/>
              <w:bidi w:val="0"/>
              <w:spacing w:before="0" w:after="0"/>
              <w:ind w:left="0" w:right="0" w:hanging="0"/>
              <w:jc w:val="left"/>
              <w:rPr/>
            </w:pPr>
            <w:r>
              <w:rPr/>
              <w:t>  ​ ​ ​</w:t>
            </w:r>
          </w:p>
        </w:tc>
        <w:tc>
          <w:tcPr>
            <w:tcW w:w="8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8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left"/>
              <w:rPr/>
            </w:pPr>
            <w:r>
              <w:rPr/>
              <w: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Composite Certificate of Incorporation of Terrestrial Energy Inc. (as amended through March 27, 2026) (incorporated by reference to Exhibit 3.1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Composite Bylaws of Terrestrial Energy Inc. (as amended through October 28, 2025) (incorporated by reference to Exhibit 3.2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Designations for Special Voting Preferred Stock (incorporated by reference to Exhibit 3.3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Employment Agreement, dated April 16, 2026, by and between Terrestrial Energy Development, Inc. and Brian Thrasher (incorporated by reference to Exhibit 10.1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Employment Agreement, dated April 16, 2026, by and between Terrestrial Energy (Ontario) Inc. and William Smith (incorporated by reference to Exhibit 10.2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Employment Agreement, dated April 16, 2026, by and between Terrestrial Energy (Ontario) Inc. and David LeBlanc (incorporated by reference to Exhibit 10.3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w:anchor="tmb-202606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w:anchor="tmb-202606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w:anchor="tmb-2026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w:anchor="tmb-2026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tbl>
      <w:tblPr>
        <w:tblW w:w="1607" w:type="dxa"/>
        <w:jc w:val="left"/>
        <w:tblInd w:w="0" w:type="dxa"/>
        <w:tblLayout w:type="fixed"/>
        <w:tblCellMar>
          <w:top w:w="0" w:type="dxa"/>
          <w:left w:w="0" w:type="dxa"/>
          <w:bottom w:w="0" w:type="dxa"/>
          <w:right w:w="0" w:type="dxa"/>
        </w:tblCellMar>
      </w:tblPr>
      <w:tblGrid>
        <w:gridCol w:w="241"/>
        <w:gridCol w:w="1366"/>
      </w:tblGrid>
      <w:tr>
        <w:trPr/>
        <w:tc>
          <w:tcPr>
            <w:tcW w:w="241" w:type="dxa"/>
            <w:tcBorders/>
            <w:vAlign w:val="center"/>
          </w:tcPr>
          <w:p>
            <w:pPr>
              <w:pStyle w:val="TableContents"/>
              <w:bidi w:val="0"/>
              <w:spacing w:before="0" w:after="240"/>
              <w:jc w:val="both"/>
              <w:rPr/>
            </w:pPr>
            <w:r>
              <w:rPr/>
              <w:t>†</w:t>
            </w:r>
          </w:p>
        </w:tc>
        <w:tc>
          <w:tcPr>
            <w:tcW w:w="136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240"/>
        <w:ind w:left="0" w:right="0" w:hanging="360"/>
        <w:jc w:val="both"/>
        <w:rPr/>
      </w:pPr>
      <w:r>
        <w:rPr/>
        <w:t xml:space="preserve">‡     </w:t>
      </w:r>
      <w:r>
        <w:rPr>
          <w:rFonts w:ascii="Times New Roman;Times;serif" w:hAnsi="Times New Roman;Times;serif"/>
          <w:sz w:val="20"/>
        </w:rPr>
        <w:t>Management contract or compensatory plan or arrangement.</w:t>
      </w:r>
    </w:p>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5" w:name="SIGNATURES_883092"/>
      <w:bookmarkStart w:id="1046" w:name="_1612b3d3_aad1_4b53_82e5_47af0170e559"/>
      <w:bookmarkEnd w:id="1045"/>
      <w:bookmarkEnd w:id="1046"/>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11, 2026</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smallCaps/>
                <w:sz w:val="20"/>
              </w:rPr>
              <w:t>EGISTRANT</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right"/>
        <w:rPr>
          <w:rFonts w:ascii="Times New Roman;Times;serif" w:hAnsi="Times New Roman;Times;serif"/>
          <w:b/>
          <w:sz w:val="20"/>
        </w:rPr>
      </w:pPr>
      <w:bookmarkStart w:id="1047" w:name="tmb-20260630xex31d1.htm"/>
      <w:bookmarkStart w:id="1048" w:name="kstmb20260630xex31d1"/>
      <w:bookmarkEnd w:id="1047"/>
      <w:bookmarkEnd w:id="1048"/>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Simon Irish,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Terrestrial Energy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4863" w:type="dxa"/>
        <w:jc w:val="left"/>
        <w:tblInd w:w="0" w:type="dxa"/>
        <w:tblLayout w:type="fixed"/>
        <w:tblCellMar>
          <w:top w:w="0" w:type="dxa"/>
          <w:left w:w="0" w:type="dxa"/>
          <w:bottom w:w="0" w:type="dxa"/>
          <w:right w:w="0" w:type="dxa"/>
        </w:tblCellMar>
      </w:tblPr>
      <w:tblGrid>
        <w:gridCol w:w="1951"/>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Simon Irish</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Simon Irish</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25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0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9" w:name="tmb-20260630xex31d2.htm"/>
      <w:bookmarkStart w:id="1050" w:name="kstmb20260630xex31d2"/>
      <w:bookmarkEnd w:id="1049"/>
      <w:bookmarkEnd w:id="1050"/>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 AND RULE 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Brian Thrasher,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I have reviewed this Quarterly Report on Form 10-Q of Terrestrial Energy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Any fraud, whether or not material, that involves management or other employees who have a significant role in the registrant’s internal control over financial reporting.</w:t>
      </w:r>
    </w:p>
    <w:tbl>
      <w:tblPr>
        <w:tblW w:w="4878" w:type="dxa"/>
        <w:jc w:val="left"/>
        <w:tblInd w:w="0" w:type="dxa"/>
        <w:tblLayout w:type="fixed"/>
        <w:tblCellMar>
          <w:top w:w="0" w:type="dxa"/>
          <w:left w:w="0" w:type="dxa"/>
          <w:bottom w:w="0" w:type="dxa"/>
          <w:right w:w="0" w:type="dxa"/>
        </w:tblCellMar>
      </w:tblPr>
      <w:tblGrid>
        <w:gridCol w:w="1951"/>
        <w:gridCol w:w="406"/>
        <w:gridCol w:w="252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Brian Thrasher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Brian Thrasher</w:t>
            </w:r>
          </w:p>
        </w:tc>
      </w:tr>
      <w:tr>
        <w:trPr/>
        <w:tc>
          <w:tcPr>
            <w:tcW w:w="1951" w:type="dxa"/>
            <w:tcBorders/>
            <w:vAlign w:val="center"/>
          </w:tcPr>
          <w:p>
            <w:pPr>
              <w:pStyle w:val="TableContents"/>
              <w:bidi w:val="0"/>
              <w:spacing w:before="0" w:after="0"/>
              <w:ind w:left="0" w:right="0" w:hanging="0"/>
              <w:jc w:val="both"/>
              <w:rPr/>
            </w:pPr>
            <w:r>
              <w:rPr/>
              <w:t>​</w:t>
            </w:r>
          </w:p>
        </w:tc>
        <w:tc>
          <w:tcPr>
            <w:tcW w:w="406" w:type="dxa"/>
            <w:tcBorders/>
            <w:vAlign w:val="center"/>
          </w:tcPr>
          <w:p>
            <w:pPr>
              <w:pStyle w:val="TableContents"/>
              <w:bidi w:val="0"/>
              <w:spacing w:before="0" w:after="0"/>
              <w:ind w:left="0" w:right="0" w:hanging="0"/>
              <w:jc w:val="both"/>
              <w:rPr/>
            </w:pPr>
            <w:r>
              <w:rPr/>
              <w:t>​</w:t>
            </w:r>
          </w:p>
        </w:tc>
        <w:tc>
          <w:tcPr>
            <w:tcW w:w="25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2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1" w:name="tmb-20260630xex32d1.htm"/>
      <w:bookmarkStart w:id="1052" w:name="kstmb20260630xex32d1"/>
      <w:bookmarkEnd w:id="1051"/>
      <w:bookmarkEnd w:id="1052"/>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Terrestrial Energy Inc. (the “</w:t>
      </w:r>
      <w:r>
        <w:rPr>
          <w:rFonts w:ascii="Times New Roman;Times;serif" w:hAnsi="Times New Roman;Times;serif"/>
          <w:b/>
          <w:sz w:val="20"/>
        </w:rPr>
        <w:t>Company</w:t>
      </w:r>
      <w:r>
        <w:rPr>
          <w:rFonts w:ascii="Times New Roman;Times;serif" w:hAnsi="Times New Roman;Times;serif"/>
          <w:sz w:val="20"/>
        </w:rPr>
        <w:t>”) for the quarterly period ended June 30, 2026, as filed with the Securities and Exchange Commission on the date hereof (the “</w:t>
      </w:r>
      <w:r>
        <w:rPr>
          <w:rFonts w:ascii="Times New Roman;Times;serif" w:hAnsi="Times New Roman;Times;serif"/>
          <w:b/>
          <w:sz w:val="20"/>
        </w:rPr>
        <w:t>Repor</w:t>
      </w:r>
      <w:r>
        <w:rPr>
          <w:rFonts w:ascii="Times New Roman;Times;serif" w:hAnsi="Times New Roman;Times;serif"/>
          <w:sz w:val="20"/>
        </w:rPr>
        <w:t>t”), I, Simon Irish, Chief Executive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 as of and for the period covered by the Report.</w:t>
      </w:r>
    </w:p>
    <w:tbl>
      <w:tblPr>
        <w:tblW w:w="4863" w:type="dxa"/>
        <w:jc w:val="left"/>
        <w:tblInd w:w="0" w:type="dxa"/>
        <w:tblLayout w:type="fixed"/>
        <w:tblCellMar>
          <w:top w:w="0" w:type="dxa"/>
          <w:left w:w="0" w:type="dxa"/>
          <w:bottom w:w="0" w:type="dxa"/>
          <w:right w:w="0" w:type="dxa"/>
        </w:tblCellMar>
      </w:tblPr>
      <w:tblGrid>
        <w:gridCol w:w="1951"/>
        <w:gridCol w:w="406"/>
        <w:gridCol w:w="250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06"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0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Simon Irish</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06"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Simon Irish</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06"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3" w:name="tmb-20260630xex32d2.htm"/>
      <w:bookmarkStart w:id="1054" w:name="kstmb20260630xex32d2"/>
      <w:bookmarkEnd w:id="1053"/>
      <w:bookmarkEnd w:id="1054"/>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Quarterly Report on Form 10-Q of Terrestrial Energy Inc. (the “</w:t>
      </w:r>
      <w:r>
        <w:rPr>
          <w:rFonts w:ascii="Times New Roman;Times;serif" w:hAnsi="Times New Roman;Times;serif"/>
          <w:b/>
          <w:sz w:val="20"/>
        </w:rPr>
        <w:t>Company</w:t>
      </w:r>
      <w:r>
        <w:rPr>
          <w:rFonts w:ascii="Times New Roman;Times;serif" w:hAnsi="Times New Roman;Times;serif"/>
          <w:sz w:val="20"/>
        </w:rPr>
        <w:t>”) for the quarterly period ended June 30, 2026, as filed with the Securities and Exchange Commission on the date hereof (the “</w:t>
      </w:r>
      <w:r>
        <w:rPr>
          <w:rFonts w:ascii="Times New Roman;Times;serif" w:hAnsi="Times New Roman;Times;serif"/>
          <w:b/>
          <w:sz w:val="20"/>
        </w:rPr>
        <w:t>Repor</w:t>
      </w:r>
      <w:r>
        <w:rPr>
          <w:rFonts w:ascii="Times New Roman;Times;serif" w:hAnsi="Times New Roman;Times;serif"/>
          <w:sz w:val="20"/>
        </w:rPr>
        <w:t>t”), I, Brian Thrasher, Chief Financial Officer of the Company, certify, pursuant to 18 U.S.C. Section 1350, as adopted pursuant to Section 906 of the Sarbanes-Oxley Act of 2002, that to my knowledge: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rPr>
        <w:t>The Report fully complies with the requirements of Section 13(a) or 15(d) of the Securities Exchange Act of 1934, as amended;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rPr>
        <w:t>The information contained in the Report fairly presents, in all material respects, the financial condition and results of operations of the Company as of and for the period covered by the Report.</w:t>
      </w:r>
    </w:p>
    <w:tbl>
      <w:tblPr>
        <w:tblW w:w="4878" w:type="dxa"/>
        <w:jc w:val="left"/>
        <w:tblInd w:w="0" w:type="dxa"/>
        <w:tblLayout w:type="fixed"/>
        <w:tblCellMar>
          <w:top w:w="0" w:type="dxa"/>
          <w:left w:w="0" w:type="dxa"/>
          <w:bottom w:w="0" w:type="dxa"/>
          <w:right w:w="0" w:type="dxa"/>
        </w:tblCellMar>
      </w:tblPr>
      <w:tblGrid>
        <w:gridCol w:w="1951"/>
        <w:gridCol w:w="406"/>
        <w:gridCol w:w="252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2521" w:type="dxa"/>
            <w:tcBorders/>
            <w:vAlign w:val="center"/>
          </w:tcPr>
          <w:p>
            <w:pPr>
              <w:pStyle w:val="TableContents"/>
              <w:bidi w:val="0"/>
              <w:spacing w:before="0" w:after="283"/>
              <w:ind w:left="0" w:right="0" w:hanging="0"/>
              <w:jc w:val="left"/>
              <w:rPr>
                <w:sz w:val="4"/>
                <w:szCs w:val="4"/>
              </w:rPr>
            </w:pPr>
            <w:r>
              <w:rPr>
                <w:sz w:val="4"/>
                <w:szCs w:val="4"/>
              </w:rPr>
            </w:r>
          </w:p>
        </w:tc>
      </w:tr>
      <w:tr>
        <w:trPr/>
        <w:tc>
          <w:tcPr>
            <w:tcW w:w="195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Date: August 11, 2026</w:t>
            </w:r>
          </w:p>
        </w:tc>
        <w:tc>
          <w:tcPr>
            <w:tcW w:w="4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By:</w:t>
            </w:r>
          </w:p>
        </w:tc>
        <w:tc>
          <w:tcPr>
            <w:tcW w:w="252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 Brian Thrasher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21"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Brian Thrasher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2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both"/>
              <w:rPr/>
            </w:pPr>
            <w:r>
              <w:rPr/>
              <w:t> </w:t>
            </w:r>
          </w:p>
        </w:tc>
        <w:tc>
          <w:tcPr>
            <w:tcW w:w="406" w:type="dxa"/>
            <w:tcBorders/>
            <w:vAlign w:val="center"/>
          </w:tcPr>
          <w:p>
            <w:pPr>
              <w:pStyle w:val="TableContents"/>
              <w:bidi w:val="0"/>
              <w:spacing w:before="0" w:after="0"/>
              <w:ind w:left="0" w:right="0" w:hanging="0"/>
              <w:jc w:val="both"/>
              <w:rPr/>
            </w:pPr>
            <w:r>
              <w:rPr/>
              <w:t> </w:t>
            </w:r>
          </w:p>
        </w:tc>
        <w:tc>
          <w:tcPr>
            <w:tcW w:w="2521" w:type="dxa"/>
            <w:tcBorders/>
            <w:vAlign w:val="center"/>
          </w:tcPr>
          <w:p>
            <w:pPr>
              <w:pStyle w:val="TableContents"/>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9804/000110465926036846/tmb-20251231xex3d1.htm" TargetMode="External"/><Relationship Id="rId3" Type="http://schemas.openxmlformats.org/officeDocument/2006/relationships/hyperlink" Target="https://www.sec.gov/Archives/edgar/data/2019804/000110465926036846/tmb-20251231xex3d2.htm" TargetMode="External"/><Relationship Id="rId4" Type="http://schemas.openxmlformats.org/officeDocument/2006/relationships/hyperlink" Target="https://www.sec.gov/Archives/edgar/data/2019804/000110465926036846/tmb-20251231xex3d3.htm" TargetMode="External"/><Relationship Id="rId5" Type="http://schemas.openxmlformats.org/officeDocument/2006/relationships/hyperlink" Target="https://www.sec.gov/Archives/edgar/data/2019804/000110465926044426/tmb-20260416xex10d1.htm" TargetMode="External"/><Relationship Id="rId6" Type="http://schemas.openxmlformats.org/officeDocument/2006/relationships/hyperlink" Target="https://www.sec.gov/Archives/edgar/data/2019804/000110465926044426/tmb-20260416xex10d2.htm" TargetMode="External"/><Relationship Id="rId7" Type="http://schemas.openxmlformats.org/officeDocument/2006/relationships/hyperlink" Target="https://www.sec.gov/Archives/edgar/data/2019804/000110465926044426/tmb-20260416xex10d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13728</Words>
  <Characters>77975</Characters>
  <CharactersWithSpaces>92943</CharactersWithSpaces>
  <Paragraphs>3936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