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95250</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1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420" w:right="739" w:hanging="2695"/>
        <w:spacing w:after="0" w:line="266" w:lineRule="auto"/>
        <w:tabs>
          <w:tab w:leader="none" w:pos="136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1360" w:hanging="655"/>
        <w:spacing w:after="0"/>
        <w:tabs>
          <w:tab w:leader="none" w:pos="1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w:t>
      </w:r>
    </w:p>
    <w:p>
      <w:pPr>
        <w:spacing w:after="0" w:line="10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1" w:lineRule="exact"/>
        <w:rPr>
          <w:sz w:val="24"/>
          <w:szCs w:val="24"/>
          <w:color w:val="auto"/>
        </w:rPr>
      </w:pPr>
    </w:p>
    <w:p>
      <w:pPr>
        <w:ind w:left="2780"/>
        <w:spacing w:after="0"/>
        <w:tabs>
          <w:tab w:leader="none" w:pos="53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0</wp:posOffset>
            </wp:positionV>
            <wp:extent cx="989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76200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TERRESTRIAL ENERGY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4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40" w:type="dxa"/>
            <w:vAlign w:val="bottom"/>
            <w:gridSpan w:val="2"/>
          </w:tcPr>
          <w:p>
            <w:pPr>
              <w:jc w:val="center"/>
              <w:ind w:right="754"/>
              <w:spacing w:after="0"/>
              <w:rPr>
                <w:sz w:val="20"/>
                <w:szCs w:val="20"/>
                <w:color w:val="auto"/>
              </w:rPr>
            </w:pPr>
            <w:r>
              <w:rPr>
                <w:rFonts w:ascii="Times New Roman" w:cs="Times New Roman" w:eastAsia="Times New Roman" w:hAnsi="Times New Roman"/>
                <w:sz w:val="14"/>
                <w:szCs w:val="14"/>
                <w:b w:val="1"/>
                <w:bCs w:val="1"/>
                <w:color w:val="auto"/>
              </w:rPr>
              <w:t>98-1785406</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2440" w:type="dxa"/>
            <w:vAlign w:val="bottom"/>
            <w:gridSpan w:val="2"/>
          </w:tcPr>
          <w:p>
            <w:pPr>
              <w:jc w:val="center"/>
              <w:ind w:left="135"/>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380" w:type="dxa"/>
            <w:vAlign w:val="bottom"/>
          </w:tcPr>
          <w:p>
            <w:pPr>
              <w:jc w:val="center"/>
              <w:ind w:right="1414"/>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440" w:type="dxa"/>
            <w:vAlign w:val="bottom"/>
            <w:gridSpan w:val="2"/>
          </w:tcPr>
          <w:p>
            <w:pPr>
              <w:jc w:val="center"/>
              <w:ind w:left="135"/>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40" w:type="dxa"/>
            <w:vAlign w:val="bottom"/>
            <w:gridSpan w:val="2"/>
          </w:tcPr>
          <w:p>
            <w:pPr>
              <w:jc w:val="center"/>
              <w:ind w:right="754"/>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c>
          <w:tcPr>
            <w:tcW w:w="0" w:type="dxa"/>
            <w:vAlign w:val="bottom"/>
          </w:tcPr>
          <w:p>
            <w:pPr>
              <w:spacing w:after="0"/>
              <w:rPr>
                <w:sz w:val="1"/>
                <w:szCs w:val="1"/>
                <w:color w:val="auto"/>
              </w:rPr>
            </w:pPr>
          </w:p>
        </w:tc>
      </w:tr>
      <w:tr>
        <w:trPr>
          <w:trHeight w:val="335"/>
        </w:trPr>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2730 W. Tyvola Road</w:t>
            </w: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2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Charlotte, NC 28217</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gridSpan w:val="2"/>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(646) 687-8212</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334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80" w:type="dxa"/>
            <w:vAlign w:val="bottom"/>
          </w:tcPr>
          <w:p>
            <w:pPr>
              <w:spacing w:after="0"/>
              <w:rPr>
                <w:sz w:val="17"/>
                <w:szCs w:val="17"/>
                <w:color w:val="auto"/>
              </w:rPr>
            </w:pP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66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340" w:type="dxa"/>
            <w:vAlign w:val="bottom"/>
            <w:gridSpan w:val="3"/>
          </w:tcPr>
          <w:p>
            <w:pPr>
              <w:jc w:val="center"/>
              <w:ind w:right="380"/>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620" w:type="dxa"/>
            <w:vAlign w:val="bottom"/>
          </w:tcPr>
          <w:p>
            <w:pPr>
              <w:spacing w:after="0"/>
              <w:rPr>
                <w:sz w:val="10"/>
                <w:szCs w:val="10"/>
                <w:color w:val="auto"/>
              </w:rPr>
            </w:pPr>
          </w:p>
        </w:tc>
        <w:tc>
          <w:tcPr>
            <w:tcW w:w="1600" w:type="dxa"/>
            <w:vAlign w:val="bottom"/>
            <w:gridSpan w:val="2"/>
          </w:tcPr>
          <w:p>
            <w:pPr>
              <w:jc w:val="center"/>
              <w:ind w:right="640"/>
              <w:spacing w:after="0" w:line="119" w:lineRule="exact"/>
              <w:rPr>
                <w:sz w:val="20"/>
                <w:szCs w:val="20"/>
                <w:color w:val="auto"/>
              </w:rPr>
            </w:pPr>
            <w:r>
              <w:rPr>
                <w:rFonts w:ascii="Times New Roman" w:cs="Times New Roman" w:eastAsia="Times New Roman" w:hAnsi="Times New Roman"/>
                <w:sz w:val="13"/>
                <w:szCs w:val="13"/>
                <w:color w:val="auto"/>
              </w:rPr>
              <w:t>IMSR</w:t>
            </w:r>
          </w:p>
        </w:tc>
        <w:tc>
          <w:tcPr>
            <w:tcW w:w="660" w:type="dxa"/>
            <w:vAlign w:val="bottom"/>
          </w:tcPr>
          <w:p>
            <w:pPr>
              <w:spacing w:after="0"/>
              <w:rPr>
                <w:sz w:val="10"/>
                <w:szCs w:val="10"/>
                <w:color w:val="auto"/>
              </w:rPr>
            </w:pPr>
          </w:p>
        </w:tc>
        <w:tc>
          <w:tcPr>
            <w:tcW w:w="2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48"/>
        </w:trPr>
        <w:tc>
          <w:tcPr>
            <w:tcW w:w="33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Redeemable Warrants, each whole warrant</w:t>
            </w:r>
          </w:p>
        </w:tc>
        <w:tc>
          <w:tcPr>
            <w:tcW w:w="62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IMSRW</w:t>
            </w:r>
          </w:p>
        </w:tc>
        <w:tc>
          <w:tcPr>
            <w:tcW w:w="66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49"/>
        </w:trPr>
        <w:tc>
          <w:tcPr>
            <w:tcW w:w="3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exercisable for one Common Stock at a price of</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44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color w:val="auto"/>
              </w:rPr>
              <w:t>$11.50 per share</w:t>
            </w: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60" w:right="21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640" w:val="left"/>
        </w:tabs>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left="60" w:right="2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5"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520" w:space="720"/>
            <w:col w:w="140" w:space="360"/>
            <w:col w:w="1880" w:space="720"/>
            <w:col w:w="3679"/>
          </w:cols>
          <w:pgMar w:left="1440" w:top="661" w:right="1440" w:bottom="1440" w:gutter="0" w:footer="0" w:header="0"/>
          <w:type w:val="continuous"/>
        </w:sectPr>
      </w:pPr>
    </w:p>
    <w:p>
      <w:pPr>
        <w:spacing w:after="0" w:line="3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6">
            <w:col w:w="1520" w:space="720"/>
            <w:col w:w="140" w:space="360"/>
            <w:col w:w="1880" w:space="720"/>
            <w:col w:w="160" w:space="340"/>
            <w:col w:w="1880" w:space="720"/>
            <w:col w:w="579"/>
          </w:cols>
          <w:pgMar w:left="1440" w:top="661" w:right="1440" w:bottom="1440" w:gutter="0" w:footer="0" w:header="0"/>
          <w:type w:val="continuous"/>
        </w:sect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60" w:right="1399"/>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6, 2026, there were 105,935,254 of the registrant’s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410210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-9525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33020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0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r>
      <w:tr>
        <w:trPr>
          <w:trHeight w:val="445"/>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tc>
        <w:tc>
          <w:tcPr>
            <w:tcW w:w="500" w:type="dxa"/>
            <w:vAlign w:val="bottom"/>
          </w:tcPr>
          <w:p>
            <w:pPr>
              <w:spacing w:after="0"/>
              <w:rPr>
                <w:sz w:val="24"/>
                <w:szCs w:val="24"/>
                <w:color w:val="auto"/>
              </w:rPr>
            </w:pPr>
          </w:p>
        </w:tc>
      </w:tr>
      <w:tr>
        <w:trPr>
          <w:trHeight w:val="391"/>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 (Unaudited)</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months</w:t>
            </w:r>
          </w:p>
        </w:tc>
        <w:tc>
          <w:tcPr>
            <w:tcW w:w="4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2026 and 2025 (Unaudited)</w:t>
            </w:r>
          </w:p>
        </w:tc>
        <w:tc>
          <w:tcPr>
            <w:tcW w:w="418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months ended</w:t>
            </w:r>
          </w:p>
        </w:tc>
        <w:tc>
          <w:tcPr>
            <w:tcW w:w="5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March 31, 2026 and 2025 (Unaudited)</w:t>
            </w:r>
          </w:p>
        </w:tc>
        <w:tc>
          <w:tcPr>
            <w:tcW w:w="4260" w:type="dxa"/>
            <w:vAlign w:val="bottom"/>
            <w:tcBorders>
              <w:top w:val="single" w:sz="8" w:color="0000EE"/>
            </w:tcBorders>
            <w:gridSpan w:val="6"/>
          </w:tcPr>
          <w:p>
            <w:pPr>
              <w:spacing w:after="0"/>
              <w:rPr>
                <w:sz w:val="17"/>
                <w:szCs w:val="17"/>
                <w:color w:val="auto"/>
              </w:rPr>
            </w:pPr>
          </w:p>
        </w:tc>
        <w:tc>
          <w:tcPr>
            <w:tcW w:w="4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w:t>
            </w:r>
          </w:p>
        </w:tc>
        <w:tc>
          <w:tcPr>
            <w:tcW w:w="2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II</w:t>
            </w:r>
          </w:p>
        </w:tc>
        <w:tc>
          <w:tcPr>
            <w:tcW w:w="560" w:type="dxa"/>
            <w:vAlign w:val="bottom"/>
            <w:gridSpan w:val="4"/>
          </w:tcPr>
          <w:p>
            <w:pPr>
              <w:spacing w:after="0"/>
              <w:rPr>
                <w:sz w:val="24"/>
                <w:szCs w:val="24"/>
                <w:color w:val="auto"/>
              </w:rPr>
            </w:pPr>
          </w:p>
        </w:tc>
        <w:tc>
          <w:tcPr>
            <w:tcW w:w="1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59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440" w:type="dxa"/>
            <w:vAlign w:val="bottom"/>
            <w:gridSpan w:val="3"/>
          </w:tcPr>
          <w:p>
            <w:pPr>
              <w:spacing w:after="0"/>
              <w:rPr>
                <w:sz w:val="24"/>
                <w:szCs w:val="24"/>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52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Terrestrial Energy Inc. (“Terrestrial Energy,” the “Company,” “we,” “our,” and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discussion in this Quarterly Report should be read in conjunction with the condensed consolidated financial statements and notes thereto included in Item 1 of this Quarterly Report. Should one or more of these risks or uncertainties materialize, or should any of our assumptions prove incorrect, actual results may vary in material respects from those projected in these forward-looking statements, whether as a result of new information, future events or otherwise, except as may be required under applicable securities laws.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Unaudited)</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31,  ​​​</w:t>
            </w:r>
          </w:p>
        </w:tc>
      </w:tr>
      <w:tr>
        <w:trPr>
          <w:trHeight w:val="173"/>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assets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97,164</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299,559</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Borders>
              <w:bottom w:val="single" w:sz="8" w:color="CCEEFF"/>
            </w:tcBorders>
          </w:tcPr>
          <w:p>
            <w:pPr>
              <w:spacing w:after="0"/>
              <w:rPr>
                <w:sz w:val="17"/>
                <w:szCs w:val="17"/>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EQUITY</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liabilities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 (Note 10)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$0.0001 par value; 500,000,000 authorized shares; 82,242,434 and 81,771,422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March 31, 2026 and December 31, 2025, respectively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8"/>
                <w:szCs w:val="18"/>
                <w:color w:val="auto"/>
              </w:rPr>
            </w:pPr>
          </w:p>
        </w:tc>
      </w:tr>
      <w:tr>
        <w:trPr>
          <w:trHeight w:val="189"/>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Exchangeable shares, $0.0001 par value; 23,692,820 and 24,011,017 shares issued and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r>
      <w:tr>
        <w:trPr>
          <w:trHeight w:val="20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418,815</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(124,625)</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288,596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295,406</w:t>
            </w:r>
          </w:p>
        </w:tc>
        <w:tc>
          <w:tcPr>
            <w:tcW w:w="180" w:type="dxa"/>
            <w:vAlign w:val="bottom"/>
            <w:tcBorders>
              <w:bottom w:val="single" w:sz="8" w:color="CCEEFF"/>
            </w:tcBorders>
          </w:tcPr>
          <w:p>
            <w:pPr>
              <w:spacing w:after="0"/>
              <w:rPr>
                <w:sz w:val="17"/>
                <w:szCs w:val="17"/>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grants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loss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Shares Outstanding, Basic and diluted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105,861,986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63,170,918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 on short-term and long-term investments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3"/>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20" w:type="dxa"/>
            <w:vAlign w:val="bottom"/>
          </w:tcPr>
          <w:p>
            <w:pPr>
              <w:spacing w:after="0"/>
              <w:rPr>
                <w:sz w:val="14"/>
                <w:szCs w:val="14"/>
                <w:color w:val="auto"/>
              </w:rPr>
            </w:pPr>
          </w:p>
        </w:tc>
        <w:tc>
          <w:tcPr>
            <w:tcW w:w="104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6"/>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2"/>
                <w:szCs w:val="12"/>
                <w:color w:val="auto"/>
              </w:rPr>
            </w:pPr>
          </w:p>
        </w:tc>
        <w:tc>
          <w:tcPr>
            <w:tcW w:w="22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1, 2026</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81,771,422</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24,011,017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418,815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(124,625)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295,406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upon exercise of options</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140,815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exchangeable shares to</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318,197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(318,197)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for private placement</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 gains on short-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and long-term investments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82,242,434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23,692,820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421,734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(135,128)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00" w:type="dxa"/>
            <w:vAlign w:val="bottom"/>
            <w:gridSpan w:val="4"/>
          </w:tcPr>
          <w:p>
            <w:pPr>
              <w:jc w:val="right"/>
              <w:ind w:right="58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55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3"/>
                <w:szCs w:val="13"/>
                <w:b w:val="1"/>
                <w:bCs w:val="1"/>
                <w:color w:val="auto"/>
                <w:w w:val="95"/>
              </w:rPr>
              <w:t>Common Shares</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6"/>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220" w:type="dxa"/>
            <w:vAlign w:val="bottom"/>
            <w:gridSpan w:val="3"/>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2"/>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92"/>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January 1, 2025, as recast</w:t>
            </w:r>
          </w:p>
        </w:tc>
        <w:tc>
          <w:tcPr>
            <w:tcW w:w="340" w:type="dxa"/>
            <w:vAlign w:val="bottom"/>
            <w:tcBorders>
              <w:top w:val="single" w:sz="8" w:color="CCEEFF"/>
            </w:tcBorders>
            <w:gridSpan w:val="2"/>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39,159,901</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24,011,017</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82,774</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(96,608)</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warrants in connection with</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 of tax</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(6,252)</w:t>
            </w:r>
          </w:p>
        </w:tc>
        <w:tc>
          <w:tcPr>
            <w:tcW w:w="0" w:type="dxa"/>
            <w:vAlign w:val="bottom"/>
          </w:tcPr>
          <w:p>
            <w:pPr>
              <w:spacing w:after="0"/>
              <w:rPr>
                <w:sz w:val="1"/>
                <w:szCs w:val="1"/>
                <w:color w:val="auto"/>
              </w:rPr>
            </w:pPr>
          </w:p>
        </w:tc>
      </w:tr>
      <w:tr>
        <w:trPr>
          <w:trHeight w:val="129"/>
        </w:trPr>
        <w:tc>
          <w:tcPr>
            <w:tcW w:w="23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340" w:type="dxa"/>
            <w:vAlign w:val="bottom"/>
            <w:gridSpan w:val="2"/>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39,159,901</w:t>
            </w: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Borders>
              <w:top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24,011,017</w:t>
            </w:r>
          </w:p>
        </w:tc>
        <w:tc>
          <w:tcPr>
            <w:tcW w:w="20" w:type="dxa"/>
            <w:vAlign w:val="bottom"/>
            <w:tcBorders>
              <w:top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top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85,549</w:t>
            </w:r>
          </w:p>
        </w:tc>
        <w:tc>
          <w:tcPr>
            <w:tcW w:w="20" w:type="dxa"/>
            <w:vAlign w:val="bottom"/>
            <w:tcBorders>
              <w:top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(490)</w:t>
            </w: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(102,860)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20" w:hanging="10"/>
        <w:spacing w:after="0" w:line="282"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Company’s common stock prior to the Recapitalization have been retrospectively recast to reflect the change in the capital structure as a result of the Recapitalization as described in Note 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accretion of discount on investments,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transaction gain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 - related party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redemptions of investments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 – related parties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exercise of stock options for common shares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 during the period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warrants in connection with convertible notes, net of tax</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obtained in exchange for operating lease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28, 2025 (the “Closing Date”), Terrestrial Energy Inc. (formerly HCM II Acquisition Corp. “HCM II”) consummated the transactions set forth by the Business Combination Agreement dated March 26, 2025 with Terrestrial Energy Development Inc. (formerly Terrestrial Energy, Inc.) (“TEDI”) and HCM II Merger Sub Inc.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Business Combination closed on Tuesday, October 28, 2025, with trading commencing on the Nasdaq Stock Market LLC (“Nasdaq”) on Wednesday, October 29, 2025.</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Upon closing of the transaction, the combined company became known as Terrestrial Energy Inc. and its securities and warrants were listed on Nasdaq under the symbols “IMSR” and “IMSRW”,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believes that it has sufficient liquidity to support operations for at least the next twelve months following the date of issuance of the condensed consolidated financial statements. This projection is based on the Company’s current expectations regarding cost structure, cash burn rate and other operating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accompanying notes are prepared in accordance with accounting principles generally accepted in the United States of America (“U.S. GAAP”) for interim financial reporting.</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Articles 8 and 10 of Regulation S-X of the U.S.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on Form 10-K for the fiscal year ended December 31, 2025, which was filed on March 30, 2026. In the opinion of management, the accompanying unaudited condensed consolidated financial statements include all adjustments, consisting of a normal recurring nature, which are necessary for a fair statement of the financial position, operating results, and cash flows for the periods presented.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determination of deferred income for government assistance, useful life of property and equipment and intangible assets, fair value of stock options granted, recognition of deferred income tax assets, determination of incremental borrowing rate used to measure lease liabilities, and warrants, are reasonable based on information available at the time they are made. These estimates, judgments and assumptions can affect the reported amounts of assets and liabilities as of the date of the condensed consolidated financial statements, as well as amounts reported on the statements of operations during the periods presented. Actual results could differ from those estimates.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The Company’s reporting currency is the United States dollar (“USD”). The functional currency of each subsidiary is determined by the currency of the primary economic environment in which the entity operates. The functional currency of Terrestrial Energy Ontario Inc.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respective reporting period.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condensed consolidated statements of operations and comprehensive loss.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cash accounts in a financial institution may at times exceed the Federal Depository Insurance coverage of $250,000. No losses have been incurred to date on any deposit balance.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92"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for the asset or liability.</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carrying amounts of certain financial instruments, such as cash equivalents, prepaid expenses and other current assets, accounts payable and accrued expenses, approximate fair value due to their relatively short maturities. The Company’s investments are classified as Level 1 or Level 2 assets (as described in Note 3). The valuation techniques used to measure the fair values of the Company’s Level 2 financial instruments, which generally have counterparties with high credit ratings, are based on quoted market prices or model-driven valuations using significant inputs derived from and corroborated by observable market data.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reviews the terms of warrants to purchase its common stock to determine whether warrants should be classified as liabilities or stockholders’ equity (deficit) in its condensed consolidated balance sheets. In order for a warrant to be classified in stockholders’ equity (deficit), the warrant must be (i) indexed to the Company’s equity and (ii) meet the conditions for equity classification.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 warrant does not meet the conditions for stockholders’ equity (deficit) classification, it is carried on the condensed consolidated balance sheets as a warrant liability measured at fair value, with subsequent changes in the fair value of the warrant recorded in other income (expense) in the condensed consolidated statements of operations and comprehensive loss. If a warrant meets both conditions for equity classification, the warrant is initially recorded, at its relative fair value on the date of issuance, in stockholders’ deficit in the condensed consolidated balance sheets, and the amount initially recorded is not subsequently remeasured at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granted to employees in accordance with Accounting Standards Codification (“ASC”) 718, “Compensation: Stock Compensation”, by measuring the grant date fair value of the award and recognizing the resulting expense over the period during which the employee is required to perform service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exchange for the award. Equity-based compensation expense is only recognized for awards subject to performance conditions if it is probable that the performance condition will be achieved. The Company accounts for forfeitures when they occur.</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its stock-based compensation.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the Closing of the Business Combination, there was no public market for the Company’s common stock. Therefore, the Company determined the fair value of common stock at the time of each grant of stock options by considering a number of objective and subjective factors in accordance with applicable elements of the practice aid issued by the American Institute of Certified Public Accountants titled, “Valuation of Privately Held Company Equity Securities Issued as Compensation.” Stock options granted by the Company have exercise prices equal to the fair value of the Company’s common stock, as determined by the Company on the date of grant. After the Closing of the Business Combination, the closing price of the common stock on Nasdaq is used as the fair value of the Company’s common stock.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spacing w:after="0" w:line="13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5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5" w:lineRule="exact"/>
        <w:rPr>
          <w:sz w:val="20"/>
          <w:szCs w:val="20"/>
          <w:color w:val="auto"/>
        </w:rPr>
      </w:pPr>
    </w:p>
    <w:p>
      <w:pPr>
        <w:jc w:val="both"/>
        <w:ind w:left="60" w:right="59" w:hanging="10"/>
        <w:spacing w:after="0" w:line="255"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assessed the adoption impacts of recently issued accounting standards by the Financial Accounting Standards Board on the Company’s condensed consolidated financial statements as well as material updates to previous assessments, if any, to the Company’s annual audited consolidated financial statements and notes thereto included in our Form 10-K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the Company’s cash, cash equivalent and investments by significant investment category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8"/>
        </w:trPr>
        <w:tc>
          <w:tcPr>
            <w:tcW w:w="1000" w:type="dxa"/>
            <w:vAlign w:val="bottom"/>
          </w:tcPr>
          <w:p>
            <w:pPr>
              <w:spacing w:after="0"/>
              <w:rPr>
                <w:sz w:val="19"/>
                <w:szCs w:val="19"/>
                <w:color w:val="auto"/>
              </w:rPr>
            </w:pPr>
          </w:p>
        </w:tc>
        <w:tc>
          <w:tcPr>
            <w:tcW w:w="4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Losses Fair Value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8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9"/>
                <w:szCs w:val="19"/>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213"/>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funds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210,949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1,979</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212,916</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76,946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198,018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14,898</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460" w:type="dxa"/>
            <w:vAlign w:val="bottom"/>
            <w:gridSpan w:val="5"/>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Cash and</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Long-Term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460" w:type="dxa"/>
            <w:vAlign w:val="bottom"/>
            <w:gridSpan w:val="5"/>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Cash</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8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9"/>
                <w:szCs w:val="19"/>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213"/>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funds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93,897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199,497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200,626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97,164</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200,626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accrued interest earned of $55 related to investments were included in prepaid expenses and other current assets on the condensed consolidated balance sheets. There was no allowance for expected credit losses on available-for-sale debt securities included as of March 31, 2026 as the unrealized losses were deemed to be temporary in nature.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the fair value of the Company’s investments, by contractual maturity, as of March 31, 2026:</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198,018</w:t>
            </w:r>
          </w:p>
        </w:tc>
      </w:tr>
      <w:tr>
        <w:trPr>
          <w:trHeight w:val="22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 year through 5 years</w:t>
            </w:r>
          </w:p>
        </w:tc>
        <w:tc>
          <w:tcPr>
            <w:tcW w:w="980" w:type="dxa"/>
            <w:vAlign w:val="bottom"/>
            <w:tcBorders>
              <w:bottom w:val="single" w:sz="8" w:color="CCEEFF"/>
            </w:tcBorders>
          </w:tcPr>
          <w:p>
            <w:pPr>
              <w:spacing w:after="0"/>
              <w:rPr>
                <w:sz w:val="19"/>
                <w:szCs w:val="19"/>
                <w:color w:val="auto"/>
              </w:rPr>
            </w:pPr>
          </w:p>
        </w:tc>
        <w:tc>
          <w:tcPr>
            <w:tcW w:w="5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14,898</w:t>
            </w:r>
          </w:p>
        </w:tc>
      </w:tr>
      <w:tr>
        <w:trPr>
          <w:trHeight w:val="19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980" w:type="dxa"/>
            <w:vAlign w:val="bottom"/>
            <w:tcBorders>
              <w:bottom w:val="single" w:sz="8" w:color="CCEEFF"/>
            </w:tcBorders>
            <w:shd w:val="clear" w:color="auto" w:fill="CCEEFF"/>
          </w:tcPr>
          <w:p>
            <w:pPr>
              <w:jc w:val="right"/>
              <w:ind w:right="1"/>
              <w:spacing w:after="0" w:line="199" w:lineRule="exact"/>
              <w:rPr>
                <w:sz w:val="20"/>
                <w:szCs w:val="20"/>
                <w:color w:val="auto"/>
              </w:rPr>
            </w:pPr>
            <w:r>
              <w:rPr>
                <w:rFonts w:ascii="Times New Roman" w:cs="Times New Roman" w:eastAsia="Times New Roman" w:hAnsi="Times New Roman"/>
                <w:sz w:val="20"/>
                <w:szCs w:val="20"/>
                <w:color w:val="auto"/>
              </w:rPr>
              <w:t>$</w:t>
            </w:r>
          </w:p>
        </w:tc>
        <w:tc>
          <w:tcPr>
            <w:tcW w:w="5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212,916</w:t>
            </w:r>
          </w:p>
        </w:tc>
      </w:tr>
      <w:tr>
        <w:trPr>
          <w:trHeight w:val="20"/>
        </w:trPr>
        <w:tc>
          <w:tcPr>
            <w:tcW w:w="2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Related Party Balances and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related party transactions for: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960" w:type="dxa"/>
            <w:vAlign w:val="bottom"/>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2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Professional fees and expenses paid to companies controlled by officers included in</w:t>
            </w: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expenses paid to companies controlled by officers included in</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These transactions are in the normal course of operations and are measured at fair value, which is the amount of consideration established and agreed to by the related parties.</w:t>
      </w:r>
    </w:p>
    <w:p>
      <w:pPr>
        <w:spacing w:after="0" w:line="158" w:lineRule="exact"/>
        <w:rPr>
          <w:sz w:val="20"/>
          <w:szCs w:val="20"/>
          <w:color w:val="auto"/>
        </w:rPr>
      </w:pPr>
    </w:p>
    <w:p>
      <w:pPr>
        <w:ind w:left="60" w:right="6499" w:hanging="10"/>
        <w:spacing w:after="0" w:line="503" w:lineRule="auto"/>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Preferred Stock</w:t>
      </w: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authorized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 As of March 31, 2026 and December 31, 2025, no shares of Preferred Stock were issued and outstanding.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500,000,000 shares of common stock, par value $0.0001. As of March 31, 2026 and December 31, 2025, the Company had 82,242,434 and 81,771,422 shares of common stock issued and outstanding.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30,276,119 outstanding warrants to purchase common stock at a weighted average exercise price of $8.24 per share.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Call Options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various call option agreements entered into with certain stockholders prior to the Company’s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to date.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call options continue to be valid and enforceable following the consummation of the business combination. These instruments are presented within stockholders’ equity (deficit) at the original consideration price per share and are not remeasured unless exercised.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Exchangeable Shares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Company had 23,692,820 and 24,011,017 exchangeable shares outstanding. These shares are legally issued by Terrestrial Energy Canada (Exchange) Inc., a wholly-owned subsidiary of the Company (“ExchangeCo”). 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entered into a support and exchange agreement with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During the three months ended March 31, 2026 and 2025, 318,197 and zero exchangeable shares, respectively, were exchanged for common shares.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Net Loss per Share of Common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the Business Combination,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Business Combination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March 31, 2026, these shares have not been included in the calculation of basic or diluted net loss per share.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After the Business Combination,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three months ended March 31, 2026 and 2025, as the effect of any potentially dilutive security is anti-dilutive due to the net losses in those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30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105,861,986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63,170,918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weighted-average shares outstanding above include both common shares and exchangeable shares outstanding at March 31, 2026 and 2025 as these shares are exchangeable on a one-for-one basis into the Company’s common shares and are therefore economically equivalent to common shares outstanding.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104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17,550,369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19,198,254</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1,232,794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(public and private)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30,276,119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12,670,143</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49,059,282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31,868,397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2014, the Company adopted the amended and restated Terrestrial Energy Inc. 2014 Stock Options Plan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(the “Current Plan”). As of March 31, 2026, the Current Plan authorizes the Company to award equity awards resulting in the issuance of up to 38,741,269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Plan is administered by the Board of Directors. The Board determines the type, number, vesting requirements and other features and conditions of such awards. Generally, stock options granted from the Current Plan have a contractual term of ten years from the date of the grant and vest over one to three years, subject to the discretion of the Compensation Committee.</w:t>
      </w:r>
    </w:p>
    <w:p>
      <w:pPr>
        <w:spacing w:after="0" w:line="187"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The Company has recorded stock-based compensation expense for options of $440 and $180 for the three months ended March 31, 2026 and 2025, respectively. As of March 31, 2026, total compensation expense related to awards not yet recognized was approximately $1,532 which is expected to be recognized over a weighted average period of 0.9 years.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RSU awards of $2,321 and $0 for the three months ended March 31, 2026 and 2025, respectively. The total unrecognized RSU expense as of March 31, 2026 was $8,952 with a weighted-average period over which it is to be recognized of 1.3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provision for income taxes of $37 and $0, which represented an effective tax rate of (0.4%) and 0%, respectively. The effective income tax rates for both the three months ended March 31, 2026 and 2025 are different from the U.S. federal statutory rate of 21.0% due to the valuation allowance.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vMerge w:val="restart"/>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 or otherwise stated)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geographic location of long-lived assets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right="6159" w:hanging="10"/>
        <w:spacing w:after="0" w:line="532" w:lineRule="auto"/>
        <w:tabs>
          <w:tab w:leader="none" w:pos="33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loss contingencies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from March 31, 2026, the date of these condensed consolidated financial statements, through May 14, 2026, the issuance date of these condensed consolidated financial statements for events requiring recognition or disclosure in the condensed consolidated financial statements. The Company concluded that no events have occurred that would require recognition or disclosure in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“Terrestrial Energy”, or the “Company” refer to Terrestrial Energy Inc. and its subsidiaries.</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three months ended March 31, 2026 and 2025, should be read together with our unaudited condensed consolidated financial statements and related notes included elsewhere in this Quarterly Report and in conjunction with the audited consolidated financial statements and notes thereto included in our Annual Report on Form 10-K for the fiscal year ended December 31, 2025, which was filed on March 30, 2026. The following discussion contains “forward-looking statements” that reflect our future plans, estimates, beliefs and expected performance. Our actual results may differ materially from those currently anticipated and expressed in such forward-looking statements as a result of a number of factors. We caution that assumptions, expectations, projections, intentions or beliefs about future events may, and often do, vary from actual results and the differences can be material. All amounts in the below discussion and analysis are in thousands except share and per share data or where otherwise noted.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Terrestrial Energy Inc. is an advanced nuclear technology company developing the Integral Molten Salt Reactor nuclear plant,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estimates that the operational advantages accruing from reactor technology and plant design choices place the IMSR Plant competitively in a large and growing serviceable addressable market valued at $1.4 trillion today in Organization for Economic Co-operation and Development (OECD) countries. This market includes both clean, firm, and high-temperature thermal energy, and grid-based electric power supply, across a wide range of industrial and grid applications.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conflict in Ukraine and the conflict in Iran, by national energy policy objectives particularly in the US, and by a broad realization that net-zero is not feasible without a massive expansion in nuclear energy supply as evidenced by declarations at COP28 in Dubai.</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Company completed the Business Combination with Terrestrial Energy Development Inc., (“TEDI”), a Delaware corporation,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DOE Other Transaction Authority (“OTA”) Agreements</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2025 and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for the three month periods ended March 31, 2026 and 2025, and the dollar and percentage change between the two periods: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36,225 %</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R&amp;D expenses represent costs incurred for designing and engineering the IMSR Plant,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R&amp;D expense for the three months ended March 31, 2026 and 2025 was $4,566 and $1,408, respectively. The increase is attributed to an increase in R&amp;D activities performed relating to the IMSR project, compared to 2025, as the Company continues to increase its fuel and graphite testing along with headcount additions to support commercialization activities.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for the three months ended March 31, 2026 and 2025 was $7,304 and $3,289, respectively. The increase is primarily attributable to additional stock-based compensation expense associated with stock options and restricted stock units issued, along with overall operational growth including headcount as part of the business growth strategy.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primarily of depreciation of our computer software and equipment and amortization of our patents and trademarks.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2026 and 2025 was $61 and $181, respectively. The decrease is attributed to a reduction in total net depreciable fixed assets, as the Company had assets which were fully depreciated in fiscal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and Interest expense — Related parties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expense and interest expense — related parties decreased by $1,369, or 100%, when comparing the results for the three months ended March 31, 2026 and 2025. The decrease was primarily due to conversion of convertible notes by the Company in the fourth quarter of 2025, resulting in no debt outstanding or accruing interest in the first quarter of 2026.</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and dividend income increased by $1,449 for the three months ended March 31, 2026 when compared to the same period in 2025 as a result of higher short-term investment and long-term investment balances.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 Management expects that significant on-going expenditures will be necessary to successfully implement our business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commenced trading on Nasdaq under the symbol “IMSR” on October 29, 2025, after completing its business combination with HCM II on October 28, 2025. Pursuant to the closing of the business combination, the Company received in excess of $292,000 in gross proceeds before expenses, which included gross proceeds of $50,000 from the sale of common stock in a private placement (the “PIPE”) and approximately $242,000 from HCM II’s trust account following redemptions of less than 1%.</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timing and extent of spending to support further sales and marketing, research and development efforts, the Company’s commercial development and deployment of its IMSR Plants,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and beyond based on current operating plans.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2026 and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flows from operating, investing and financing activities for the three months ended March 31, 2026 and 2025:</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9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4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(11,506)</w:t>
            </w: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10,945</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$9,093 compared to $2,760 for the three months ended March 31, 2025, an increase of $6,333. The increase was primarily due to an increase in the Company’s operating loss after non-cash items. The cause of the increase in the Company’s operating loss was an increase in engineering costs and general and administrative costs as discussed above.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and March 31, 2025 was $11,506 and $184 The increase was primarily related to purchases of short-term and long-term investments, partially offset by redemptions of short-term investments.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2026 was $149 compared to $10,945 for the three months ended March 31, 2025, a decrease of $10,796. The decrease was a result of issuances of convertible notes of $10,985 in the three months ended March 31, 2025 as compared to $0 in the current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Part II, Item 7, Management’s Discussion and Analysis of Financial Condition and Results of Operation in our Annual Report on Form 10-K for the fiscal year ended December 31, 2025 provides a more complete discussion of our critical accounting policies and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has been no adoption of any new accounting pronouncements.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expects to retain its emerging growth company status until the earliest of:</w:t>
      </w:r>
    </w:p>
    <w:p>
      <w:pPr>
        <w:spacing w:after="0" w:line="158"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its annual revenues exceed $1.2 billion;</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fifth anniversary of its public company registration has occurred;</w:t>
      </w:r>
    </w:p>
    <w:p>
      <w:pPr>
        <w:spacing w:after="0" w:line="14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issued more than $1.0 billion in non-convertible debt during the previous three-year period; and</w:t>
      </w:r>
    </w:p>
    <w:p>
      <w:pPr>
        <w:spacing w:after="0" w:line="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qualifies as a large accelerated filer.</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93"/>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the Company’s management, including our Chief Executive Officer and Chief Financial Officer (together, the “Certifying Officers”), or persons performing similar functions, as appropriate, to allow timely decisions regarding required disclosure.</w:t>
      </w:r>
    </w:p>
    <w:p>
      <w:pPr>
        <w:spacing w:after="0" w:line="189" w:lineRule="exact"/>
        <w:rPr>
          <w:sz w:val="20"/>
          <w:szCs w:val="20"/>
          <w:color w:val="auto"/>
        </w:rPr>
      </w:pPr>
    </w:p>
    <w:p>
      <w:pPr>
        <w:jc w:val="both"/>
        <w:ind w:left="60" w:right="59" w:firstLine="727"/>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March 31, 2026. Accordingly, Management believes that the financial statements contained elsewhere in this Report present fairly in all material respects our financial position, results of operations and cash flows for the period presented.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707"/>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9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continued monitoring and maintenance of our control procedures as part of the implementation of Section 404 of the Sarbanes-Oxley Act of 2002, as amended, we continue to review, test, and improve the effectiveness of our internal controls. There have not been any changes in our internal control over financial reporting (as such term is defined in Rules 13a-15(f) and 15d-15(f) under the Exchange Act)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us that, individually or in the aggregate, would be considered material to our business or likely to result in a material adverse effect on our future operating results, financial condition, or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numerous factors that affect our business and operating results, many of which are beyond our control. Except as provided below, there are no material changes to the risk factors previously disclosed under the “Risk Factors” section in Terrestrial Energy Inc.’s Annual Report on Form 10-K for the fiscal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March 19, 2026, the Company issued 12,000 shares of its common stock to MZHCI, LLC, the Company’s public relations consulting firm for services rendered. The issuance of these shares was exempt from registration in reliance on Section 4(a)(2) of the Securities Act of 1933, as amended, and/or Regulation D promulgated thereunder, as a transaction by an issuer not involving a public offering. No underwriters were used in the issuance.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none of the Company’s directors or executive officers adopted, modified or terminated any “Rule 10b5-1 trading arrangement” or any “non-Rule 10b5-1 trading arrangement,” as each term is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10"/>
          </w:tcPr>
          <w:p>
            <w:pPr>
              <w:ind w:left="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920" w:type="dxa"/>
            <w:vAlign w:val="bottom"/>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Composite Certificate of Incorporation of Terrestrial Energy Inc. (as amended through March 27, 2026)</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3.1 of the Company’s Annual Report on Form 10-K, filed with the</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SEC on March 30, 2026)</w:t>
              </w:r>
            </w:hyperlink>
          </w:p>
        </w:tc>
        <w:tc>
          <w:tcPr>
            <w:tcW w:w="58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Composite Bylaws of Terrestrial Energy Inc. (as amended through October 28, 2025) (incorporated by</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reference to Exhibit 3.2 of the Company’s Annual Report on Form 10-K, filed with the SEC on March 30,</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2026)</w:t>
              </w:r>
            </w:hyperlink>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Designations for Special Voting Preferred Stock (incorporated by reference to Exhibit 3.3 of</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the Company’s Annual Report on Form 10-K, filed with the SEC on March 30, 2026)</w:t>
              </w:r>
            </w:hyperlink>
          </w:p>
        </w:tc>
        <w:tc>
          <w:tcPr>
            <w:tcW w:w="154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592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Assignment, Assumption, Waiver and Covenant Agreement, dated as of February 18, 2026, by and</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between Simon Irish, Terrestrial Energy Inc., and Terrestrial Energy Development Inc. (incorporated by</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reference to Exhibit 10.15 of the Company’s Annual Report on Form 10-K, filed with the SEC on March</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30, 2026)</w:t>
              </w:r>
            </w:hyperlink>
          </w:p>
        </w:tc>
        <w:tc>
          <w:tcPr>
            <w:tcW w:w="1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77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Canadian Addendum to Terrestrial Energy Inc. 2025 Equity Incentive Plan</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53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Form of Restricted Stock Unit Award (Canadian) under 2025 Plan</w:t>
            </w:r>
          </w:p>
        </w:tc>
        <w:tc>
          <w:tcPr>
            <w:tcW w:w="2340" w:type="dxa"/>
            <w:vAlign w:val="bottom"/>
            <w:gridSpan w:val="6"/>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7"/>
                <w:szCs w:val="17"/>
                <w:color w:val="auto"/>
              </w:rPr>
            </w:pPr>
          </w:p>
        </w:tc>
        <w:tc>
          <w:tcPr>
            <w:tcW w:w="65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Non-Employee Director Restricted Stock Unit Award (Canadian) under 2025 Plan</w:t>
            </w:r>
          </w:p>
        </w:tc>
        <w:tc>
          <w:tcPr>
            <w:tcW w:w="11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7"/>
                <w:szCs w:val="17"/>
                <w:color w:val="auto"/>
              </w:rPr>
            </w:pPr>
          </w:p>
        </w:tc>
        <w:tc>
          <w:tcPr>
            <w:tcW w:w="4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Stock Option Award (Canadian) under 2025 Plan</w:t>
            </w:r>
          </w:p>
        </w:tc>
        <w:tc>
          <w:tcPr>
            <w:tcW w:w="354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7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5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77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3720" w:type="dxa"/>
            <w:vAlign w:val="bottom"/>
            <w:gridSpan w:val="6"/>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30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77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2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4"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424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Simon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2743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Name:Simon Irish</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24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Brian Thrasher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2743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Name:Brian Thrasher</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88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left="100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OF TERRESTRIAL ENERGY INC. REGISTERED PURSUANT TO SECTION 12 OF THE SECURITIES EXCHANGE ACT OF 1934</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capital stock of the Terrestrial Energy Inc. (“we,” “our,” “us,” or the “Company”) is not intended to be a complete summary of the rights and preferences of such securities, and is qualified by reference to our certificate of incorporation, as amended and corrected (the “Certificate of Incorporation”), our bylaws, as amended (the “Bylaws”), the Certificate of Designation of Special Voting Preferred Stock (the “Certificate of Designation”), and the Amended and Restated Warrant Agreement, dated October 28, 2025, by and between the Company and Continental Stock Transfer &amp; Trust Company, as warrant agent (the “Warrant Agreement”), described herein, and certain provisions of Delaware law. We urge you to read each of our Certificate of Incorporation, our Bylaws, the Certificate of Designation, and the Warrant Agreement, described herein, in their entirety for a complete description of the rights and preferences of our securities.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Certain provisions of the Certificate of Incorporation, Bylaws and the Warrant Agreement summarized below may be deemed to have an anti-takeover effect and may delay or prevent a tender offer or takeover attempt that a stockholder might consider in its best interest, including those attempts that might result in a premium over the market price for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of Incorporation authorizes the issuance of 501,000,000 shares, consisting of:</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common stock, par value $0.0001 per share (the “Common Stock”);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par value $0.0001 per share (the “Preferred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required by the Certificate of Incorporation, the holders of Common Stock shall vote together as a single class (or, if any holders of shares of Preferred Stock are entitled to vote together with the holders of Common Stock, as a single class with such holders of Preferred Stock) on all matters submitted to a vote of stockholders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record of Common Stock, as such, shall have one vote for each share of Common Stock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and held by such holder on all matters on which stockholders are entitled to vote generally. The holders of Common Stock do not have cumulative voting rights.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Subject to applicable law and the rights, if any, of the holders of any outstanding series of Preferred Stock or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or series of stock, in each case having a preference over or the right to participate with the Common Stock with respect to the payment of dividends and other distributions in cash, property or shares of stock of the Company, dividends and other distributions may be declared and paid ratably on the Common Stock out of the assets of the Company that are legally available for this purpose at such times and in such amounts as the Company’s Board of Directors (the “Board”), in its discretion, shall determine.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payment of future dividends on the Common Stock will depend on the financial condition of the Company, and subject to the discretion of the Board. There can be no guarantee that cash dividends will be declared. The ability of the Company to declare dividends may be limited by the terms and conditions of other financing and other agreements entered into by the Company or any of its subsidiaries from time to time.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upon liquidation, dissolution and winding up. </w:t>
      </w:r>
      <w:r>
        <w:rPr>
          <w:rFonts w:ascii="Times New Roman" w:cs="Times New Roman" w:eastAsia="Times New Roman" w:hAnsi="Times New Roman"/>
          <w:sz w:val="18"/>
          <w:szCs w:val="18"/>
          <w:color w:val="auto"/>
        </w:rPr>
        <w:t>In the event of dissolution, liquidation or winding up of the Company,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rights. </w:t>
      </w:r>
      <w:r>
        <w:rPr>
          <w:rFonts w:ascii="Times New Roman" w:cs="Times New Roman" w:eastAsia="Times New Roman" w:hAnsi="Times New Roman"/>
          <w:sz w:val="18"/>
          <w:szCs w:val="18"/>
          <w:color w:val="auto"/>
        </w:rPr>
        <w:t>The holders of Common Stock have no pre-emptive or conversion rights or other subscription rights. There are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or sinking fund provisions applicable to the Common Stock. The rights, preferences and privileges of holders of the Common Stock will be subject to those of the holders of any shares of the Preferred Stock that the Company may issue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662940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4"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19, 2024, in connection with the Company’s initial public offering, the Company issued warrants to purchase one share of the Company’s Class A ordinary shares, par value $0.0001. Such warrants were exchanged for warrants to purchase a share of Common Stock (the “Public Warrants”) pursuant to the Business Combination Agreement, dated as of March 26, 2025 (as amended from time to time, the “Business Combination Agreement”), by and among the Company, Terrestrial Energy Development Inc., a Delaware corporation (formerly known as Terrestrial Energy Inc., or “TEDI”), and HCM II Merger Sub Inc., a Delaware corporation and a direct wholly owned subsidiary of HCM II (“Merger Sub”). The transactions contemplated by the Business Combination Agreement are referred to herein as the “Business Combination.”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Public Warrant will entitle the registered holder to purchase one share of Common Stock at a price of $11.50 per share, subject to adjustment as discussed below, at any time after November 27, 2025, provided that the Company has an effective registration statement under the Securities Act covering the Common Stock issuable upon exercise of such Public Warrants and a current prospectus relating to them is available (or the Company permits holders to exercise such Public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Public Warrants only for a whole number of Common Stock. This means only a whole Public Warrants may be exercised at a given time by a warrant holder. No fractional Public Warrants were issued and only whole Public Warrants will trade. The Public Warrants will expire at 5:00 p.m., New York City time, on October 28, 2030, or earlier upon redemption or liquidation.</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Public Warrant and will have no obligation to settle such Public Warrant exercise unless a registration statement under the Securities Act with respect to the Common Stock underlying such Public Warrant is then effective and a prospectus relating thereto is current, subject to the Company satisfying its obligations described below with respect to registration. No Public Warrant will be exercisable and the Company will not be obligated to issue a share of Common Stock upon exercise of such Public Warrant unless the Common Stock issuable upon exercise of such Public Warrant has been registered, qualified or deemed to be exempt under the securities laws of the state of residence of the registered holder of such Public Warrant.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In the event that a registration statement is not effective for the Common Stock underlying the exercised Public Warrants, the purchaser of a unit in the Company’s initial public offering containing the Public Warrant will have paid the full purchase price for the unit solely for the share of Common Stock underlying such unit.</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terms of the Warrant Agreement, the Company has registered the issuance of the shares of Common Stock underlying the Public Warrants on its registration statement on Form S-4 (File No. 333-288735) (the “Registration Statement”). The Company will use its best efforts to maintain a current prospectus relating to the Common Stock issuable upon exercise of the Public Warrants until the expiration of the Public Warrants in accordance with the provisions of the Warrant Agreement. If the Company’s fails to maintain a registration statement covering the Common Stock issuable upon exercise of the Public Warrants, holders may exercise Public Warrants on a “cashless basis” in accordance with Section 3(a)(9) of the Securities Act or another exemption. Notwithstanding the above, if the Common Stock is at the time of any exercise of a Public Warrants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best efforts to register or qualify the Common Stock under applicable blue sky laws to the extent an exemption is not available. In such event, each holder would pay the exercise price by surrendering the Public Warrants for that number of Common Stock equal to the quotient obtained by dividing (x) the product of the number of Common Stock underlying the Public Warrants, multiplied by the excess of the “fair market value” (defined below) less the exercise price of such Public Warrants by (y) the fair market value. The “fair market value” as used in this paragraph means the volume weighted average price of the Common Stock for the ten (10) trading days ending on the trading day prior to the date on which the notice of exercise is received by the warrant agent.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firstLine="663"/>
        <w:spacing w:after="0" w:line="266" w:lineRule="auto"/>
        <w:tabs>
          <w:tab w:leader="none" w:pos="1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Warrants; upon a minimum of 30 days’ prior written notice of redemption (the “30-day redemption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14" w:right="999" w:bottom="1440" w:gutter="0" w:footer="0" w:header="0"/>
        </w:sectPr>
      </w:pPr>
    </w:p>
    <w:bookmarkStart w:id="29" w:name="page30"/>
    <w:bookmarkEnd w:id="29"/>
    <w:p>
      <w:pPr>
        <w:jc w:val="both"/>
        <w:ind w:firstLine="656"/>
        <w:spacing w:after="0" w:line="261"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adjustments to the number of shares issuable upon exercise or the exercise price of a Public Warrant as described under the heading “— Anti-dilution Adjustments”) for any twenty (20) trading days within a thirty (30)-trading day period ending three (3) Business Days before the Company sends the notice of redemption to the warrant holders.</w:t>
      </w:r>
    </w:p>
    <w:p>
      <w:pPr>
        <w:spacing w:after="0" w:line="166" w:lineRule="exact"/>
        <w:rPr>
          <w:sz w:val="20"/>
          <w:szCs w:val="20"/>
          <w:color w:val="auto"/>
        </w:rPr>
      </w:pPr>
    </w:p>
    <w:p>
      <w:pPr>
        <w:jc w:val="both"/>
        <w:ind w:firstLine="58"/>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exercise its redemption right even if the Company is unable to register or qualify the underlying securities for sale under all applicable state securities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price of the Common Stock may fall below the $18.00 per share redemption trigger price (as adjusted for stock dividends, split-ups, reorganizations, recapitalizations and the like) as well as the $11.50 Public Warrant exercise price after the redemption notice is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(as specified by the holder) of the Common Stock outstanding immediately after giving effect to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stock dividend payable in shares of Common Stock, or by a split-up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made to all or substantially all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the quotient of (x) the price per share of Common Stock paid in such rights offering and (y) the fair market value. For these purposes (i) if the rights offering is for securities convertible into or exercisable for Common Stock, in determining the price payable for shares of Common Stock, there will be taken into account any consideration received for such rights, as well as any additional amount payable upon exercise or conversion and</w:t>
      </w:r>
    </w:p>
    <w:p>
      <w:pPr>
        <w:jc w:val="both"/>
        <w:ind w:firstLine="8"/>
        <w:spacing w:after="0" w:line="255"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the volume weighted average price of the Common Stock as reported during the ten (10) trading day period ending on the trading day prior to the first date on which the Common Stock trades on the applicable exchange or in the applicable market, regular way, without the right to receive such rights.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the Company, at any time while the New Terrestrial Warrants are outstanding and unexpired, pays a dividend or makes a distribution in cash, securities or other assets to all or substantially all the holders of Common Stock on account of such Common Stock (or other securities into which the New Terrestrial Warrants are convertible), other than (a) as described above or (b) certain ordinary cash dividends, then the New Terrestrial Warrant exercise price will be decreased, effective immediately after the effective date of such event, by the amount of cash and/or the fair market value of any securities or other assets paid on each New Terrestrial Common Share in respect of such event.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Stock is decreased by a consolidation, combination, reverse stock split or reclassification of Common Stock or other similar event, then, on the effective date of such consolidation, combination, reverse stock split, reclassification or similar event, the number of Common Stock issuable on exercise of each Public Warrant will be decreased in proportion to such decrease in outstanding shares of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18" w:right="999" w:bottom="1440" w:gutter="0" w:footer="0" w:header="0"/>
        </w:sectPr>
      </w:pPr>
    </w:p>
    <w:bookmarkStart w:id="30" w:name="page31"/>
    <w:bookmarkEnd w:id="30"/>
    <w:p>
      <w:pPr>
        <w:jc w:val="both"/>
        <w:spacing w:after="0" w:line="250"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its issued and outstanding shares of Common Stock), or in the case of any sale or conveyance to another corporation or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Common Stock immediately theretofore purchasable and receivable upon the exercise of the rights represented thereby, the kind and amount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Common Stock in such a transaction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The Warrant Agreement provides that the terms of the Public Warrants may be amended without the consent of any holder for the purpose of (i) curing any ambiguity or to correct any defective provision or mistake,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Public Warrants, provided that the approval by the holders of at least 50% of the then-outstanding Public Warrants received upon conversion of Public Warrants is required to make any change that adversely affects the interests of the registered holders of such Public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Certificate of Incorporation, the Bylaws and Certain Provisions of Delaware Law</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Certificate of Incorporation, the Bylaws and the General Corporation Law of the State of Delaware (the “DGCL”) summarized below may have an anti-takeover effect and may delay, defer or prevent a tender offer or takeover attempt that you might consider in your best interest, including an attempt that might result in your receipt of a premium over the market price for your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Bylaws contain certain provisions that are intended to enhance the likelihood of continuity and stability in the composition of the Board and that may have the effect of delaying, deferring or preventing a future takeover or change in control of us unless such takeover or change in control is approved by such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10" w:lineRule="exact"/>
        <w:rPr>
          <w:sz w:val="20"/>
          <w:szCs w:val="20"/>
          <w:color w:val="auto"/>
        </w:rPr>
      </w:pPr>
    </w:p>
    <w:p>
      <w:pPr>
        <w:ind w:left="660" w:right="160" w:hanging="65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Authorized but Unissued Capital Stock</w:t>
      </w:r>
      <w:r>
        <w:rPr>
          <w:rFonts w:ascii="Times New Roman" w:cs="Times New Roman" w:eastAsia="Times New Roman" w:hAnsi="Times New Roman"/>
          <w:sz w:val="18"/>
          <w:szCs w:val="18"/>
          <w:color w:val="auto"/>
        </w:rPr>
        <w:t>. The authorized but unissued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Preferred Stock could render more difficult or discourage an attempt to obtain control of a majority of common stock by means of a proxy contest, tender offer, merger or otherwise.</w:t>
      </w:r>
    </w:p>
    <w:p>
      <w:pPr>
        <w:spacing w:after="0" w:line="169" w:lineRule="exact"/>
        <w:rPr>
          <w:rFonts w:ascii="Times New Roman" w:cs="Times New Roman" w:eastAsia="Times New Roman" w:hAnsi="Times New Roman"/>
          <w:sz w:val="18"/>
          <w:szCs w:val="18"/>
          <w:color w:val="auto"/>
        </w:rPr>
      </w:pPr>
    </w:p>
    <w:p>
      <w:pPr>
        <w:ind w:left="660" w:right="60" w:hanging="652"/>
        <w:spacing w:after="0" w:line="25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Designees; Classes of Directors</w:t>
      </w:r>
      <w:r>
        <w:rPr>
          <w:rFonts w:ascii="Times New Roman" w:cs="Times New Roman" w:eastAsia="Times New Roman" w:hAnsi="Times New Roman"/>
          <w:sz w:val="18"/>
          <w:szCs w:val="18"/>
          <w:color w:val="auto"/>
        </w:rPr>
        <w:t>. The Board is divided into three classes, designated Class I, Class II and Class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class shall consist, as nearly as may be possible, of one third of the total number of directors constituting the entire Board. The Board is authorized to assign members of the Board already in office to Class I, Class II or Class III at the time such classification becomes effective.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Company’s 2026 annual meeting of stockholders; each director initially assigned to Class II shall serve for a term expiring at the Company’s 2027 annual meeting of stockholders; and each director initially assigned to Class III shall serve for a term expiring at the Company’s 2028 annual meeting of stockholders; provided further, that the term of each director shall continue until the election and qualification of his or her successor and be subject to his or her earlier death, disqualification,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638810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18" w:right="999" w:bottom="1440" w:gutter="0" w:footer="0" w:header="0"/>
        </w:sectPr>
      </w:pPr>
    </w:p>
    <w:bookmarkStart w:id="31" w:name="page32"/>
    <w:bookmarkEnd w:id="31"/>
    <w:p>
      <w:pPr>
        <w:ind w:left="660" w:right="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 for Directors</w:t>
      </w:r>
      <w:r>
        <w:rPr>
          <w:rFonts w:ascii="Times New Roman" w:cs="Times New Roman" w:eastAsia="Times New Roman" w:hAnsi="Times New Roman"/>
          <w:sz w:val="18"/>
          <w:szCs w:val="18"/>
          <w:color w:val="auto"/>
        </w:rPr>
        <w:t>. The DGCL provides that stockholders are not entitled to cumulate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unless a corporation’s certificate of incorporation provides otherwise. The Certificate of Incorporation does not provide for cumulative voting. As a result, the holders of Common Stock representing a majority of the voting power of all of the outstanding shares of our capital stock of will be able to elect all of the directors then standing for election.</w:t>
      </w:r>
    </w:p>
    <w:p>
      <w:pPr>
        <w:spacing w:after="0" w:line="166" w:lineRule="exact"/>
        <w:rPr>
          <w:rFonts w:ascii="Times New Roman" w:cs="Times New Roman" w:eastAsia="Times New Roman" w:hAnsi="Times New Roman"/>
          <w:sz w:val="18"/>
          <w:szCs w:val="18"/>
          <w:color w:val="auto"/>
        </w:rPr>
      </w:pPr>
    </w:p>
    <w:p>
      <w:pPr>
        <w:ind w:left="660" w:right="600" w:hanging="652"/>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The Bylaws provide that at all meetings of the Board, a majority of the Whole Board (as defined therein)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quorum for the transaction of business.</w:t>
      </w:r>
    </w:p>
    <w:p>
      <w:pPr>
        <w:spacing w:after="0" w:line="158" w:lineRule="exact"/>
        <w:rPr>
          <w:rFonts w:ascii="Times New Roman" w:cs="Times New Roman" w:eastAsia="Times New Roman" w:hAnsi="Times New Roman"/>
          <w:sz w:val="18"/>
          <w:szCs w:val="18"/>
          <w:color w:val="auto"/>
        </w:rPr>
      </w:pPr>
    </w:p>
    <w:p>
      <w:pPr>
        <w:ind w:left="660" w:right="100" w:hanging="652"/>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Written Consent</w:t>
      </w:r>
      <w:r>
        <w:rPr>
          <w:rFonts w:ascii="Times New Roman" w:cs="Times New Roman" w:eastAsia="Times New Roman" w:hAnsi="Times New Roman"/>
          <w:sz w:val="18"/>
          <w:szCs w:val="18"/>
          <w:color w:val="auto"/>
        </w:rPr>
        <w:t>. Any action required or permitted to be taken by the stockholders of the Company must be effected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duly called annual or special meeting of such holders and may not be effected by any consent in lieu of a meeting of stockholders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spacing w:after="0" w:line="184" w:lineRule="exact"/>
        <w:rPr>
          <w:rFonts w:ascii="Times New Roman" w:cs="Times New Roman" w:eastAsia="Times New Roman" w:hAnsi="Times New Roman"/>
          <w:sz w:val="18"/>
          <w:szCs w:val="18"/>
          <w:color w:val="auto"/>
        </w:rPr>
      </w:pPr>
    </w:p>
    <w:p>
      <w:pPr>
        <w:ind w:left="660" w:right="40" w:hanging="652"/>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The Certificate of Incorporation provides that, except as otherwise required by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rights of the holders of any series of Preferred Stock, special meetings of the stockholders of the Company for any purpose or purposes may be called at any time only by or at the direction of the Chief Executive Officer, the President, or the Chairperson of the Board or by a resolution adopted by the affirmative vote of a majority of the total number of directors at any time in office, or by any person appointed pursuant to such resolution, but such special meetings may not be called by stockholders or any other Person or Persons.</w:t>
      </w:r>
    </w:p>
    <w:p>
      <w:pPr>
        <w:spacing w:after="0" w:line="184" w:lineRule="exact"/>
        <w:rPr>
          <w:rFonts w:ascii="Times New Roman" w:cs="Times New Roman" w:eastAsia="Times New Roman" w:hAnsi="Times New Roman"/>
          <w:sz w:val="18"/>
          <w:szCs w:val="18"/>
          <w:color w:val="auto"/>
        </w:rPr>
      </w:pPr>
    </w:p>
    <w:p>
      <w:pPr>
        <w:ind w:left="660" w:hanging="652"/>
        <w:spacing w:after="0" w:line="25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Procedures</w:t>
      </w:r>
      <w:r>
        <w:rPr>
          <w:rFonts w:ascii="Times New Roman" w:cs="Times New Roman" w:eastAsia="Times New Roman" w:hAnsi="Times New Roman"/>
          <w:sz w:val="18"/>
          <w:szCs w:val="18"/>
          <w:color w:val="auto"/>
        </w:rPr>
        <w:t>. The Bylaws establish an advance notice procedure for stockholder proposals to be brought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meeting of the stockholders, and for stockholder nominations of persons for election to the Board to be brought before an annual or special meeting of stockholders. Stockholders at an annual meeting will only be able to consider proposals or nominations specified in the notice of meeting or brought before the meeting by or at the direction of the Board or by a stockholder who was a stockholder of record on the record date for the meeting, who is entitled to vote at the meeting and who has given the secretary of the Company timely written notice, in proper form, of the stockholder’s intention to bring that business or nomination before the meeting. Although the Bylaws do not give the board of directors the power to approve or disapprove stockholder nominations of candidates or proposals regarding other business to be conducted at a special or annual meeting, as applicable,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any indemnity agreements that may be entered into are necessary to attract and retain talented and experienced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16" w:right="99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the Company’s directors, officers or employees for which indemnification is sought.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and Public Warrants are listed on Nasdaq, under the symbols “IMSR” and “IMSRW,”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18"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Canadian Addendum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Terrestrial Energy Inc. 2025 Equity Incentive Plan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Addendum is attached to, and forms part of, the Terrestrial Energy Inc. 2025 Equity Incentive Plan (the “Plan”) and approved and effective as of April 26, 2026 by the Compensation Committee of the Board of Directors of Terrestrial Energy Inc.</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the Plan or any applicable Award Agreement pursuant to the Plan, the provisions set forth in this Addendum shall apply to each Participant who is a Canadian resident who accepts any Award under the Plan (a “</w:t>
      </w:r>
      <w:r>
        <w:rPr>
          <w:rFonts w:ascii="Times New Roman" w:cs="Times New Roman" w:eastAsia="Times New Roman" w:hAnsi="Times New Roman"/>
          <w:sz w:val="18"/>
          <w:szCs w:val="18"/>
          <w:b w:val="1"/>
          <w:bCs w:val="1"/>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and who has executed the applicable Award Agreement relating to such Award. For greater certainty, this Addendum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have any applicability to any Participant that is not a Canadian Participant.</w:t>
      </w:r>
    </w:p>
    <w:p>
      <w:pPr>
        <w:spacing w:after="0" w:line="176" w:lineRule="exact"/>
        <w:rPr>
          <w:sz w:val="20"/>
          <w:szCs w:val="20"/>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Incorporation of Existing Definitions. </w:t>
      </w:r>
      <w:r>
        <w:rPr>
          <w:rFonts w:ascii="Times New Roman" w:cs="Times New Roman" w:eastAsia="Times New Roman" w:hAnsi="Times New Roman"/>
          <w:sz w:val="18"/>
          <w:szCs w:val="18"/>
          <w:color w:val="auto"/>
        </w:rPr>
        <w:t>Capitalized terms not defined herein shall have the meanings specified in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as applicable.</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to Certain Definitions. </w:t>
      </w:r>
      <w:r>
        <w:rPr>
          <w:rFonts w:ascii="Times New Roman" w:cs="Times New Roman" w:eastAsia="Times New Roman" w:hAnsi="Times New Roman"/>
          <w:sz w:val="18"/>
          <w:szCs w:val="18"/>
          <w:color w:val="auto"/>
        </w:rPr>
        <w:t>For the purposes of this Addendum, and the Plan as it relates to any Canadian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each of the following definitions in the Plan is hereby superseded and replaced: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2120" w:hanging="330"/>
        <w:spacing w:after="0" w:line="254" w:lineRule="auto"/>
        <w:tabs>
          <w:tab w:leader="none" w:pos="2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Participant: (i) if the Participant is a party to a written employment agreement or agreement with the Company or any Affiliate in which an enforceable definition of “cause” exists, then the definition of “cause” defined therein; or (ii) in the absence of such enforceable definition, “Cause” shall mean: (A) as it relates to a Participant resident in the province of Ontario, the Participant’s wilful misconduct, disobedience or wilful neglect of duty that is not trivial and has not been condoned by the Company or any Affiliate (as applicable); or (B) for any Participant located in Canada but not in Ontario, any other act or omission or series of acts or omissions by the Participant that would, pursuant to applicable law, permit the Company to terminate the Participant without notice or payment in lieu of notice, including for serious reason;</w:t>
      </w:r>
    </w:p>
    <w:p>
      <w:pPr>
        <w:spacing w:after="0" w:line="188" w:lineRule="exact"/>
        <w:rPr>
          <w:rFonts w:ascii="Times New Roman" w:cs="Times New Roman" w:eastAsia="Times New Roman" w:hAnsi="Times New Roman"/>
          <w:sz w:val="18"/>
          <w:szCs w:val="18"/>
          <w:color w:val="auto"/>
        </w:rPr>
      </w:pPr>
    </w:p>
    <w:p>
      <w:pPr>
        <w:ind w:left="2120" w:right="20" w:hanging="330"/>
        <w:spacing w:after="0" w:line="282" w:lineRule="auto"/>
        <w:tabs>
          <w:tab w:leader="none" w:pos="2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Participant that is not an employee, the definition of “Cause” as it otherwise exists within the Plan and not within this Addendum, being:</w:t>
      </w:r>
    </w:p>
    <w:p>
      <w:pPr>
        <w:spacing w:after="0" w:line="161" w:lineRule="exact"/>
        <w:rPr>
          <w:rFonts w:ascii="Times New Roman" w:cs="Times New Roman" w:eastAsia="Times New Roman" w:hAnsi="Times New Roman"/>
          <w:sz w:val="18"/>
          <w:szCs w:val="18"/>
          <w:color w:val="auto"/>
        </w:rPr>
      </w:pPr>
    </w:p>
    <w:p>
      <w:pPr>
        <w:jc w:val="both"/>
        <w:ind w:left="2120" w:hanging="6"/>
        <w:spacing w:after="0" w:line="255" w:lineRule="auto"/>
        <w:tabs>
          <w:tab w:leader="none" w:pos="23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employment or other service agreement between the Participant and the Company and the agreement contains a definition of “Cause”, the definition contained therein or (ii) in the absence of an employment or other service agreement between the Participant and the Company that contains a definition of “Cause”, (A) the Participant’s commission of any felony involving fraud, dishonesty or moral turpitude;</w:t>
      </w:r>
    </w:p>
    <w:p>
      <w:pPr>
        <w:spacing w:after="0" w:line="2" w:lineRule="exact"/>
        <w:rPr>
          <w:rFonts w:ascii="Times New Roman" w:cs="Times New Roman" w:eastAsia="Times New Roman" w:hAnsi="Times New Roman"/>
          <w:sz w:val="18"/>
          <w:szCs w:val="18"/>
          <w:color w:val="auto"/>
        </w:rPr>
      </w:pPr>
    </w:p>
    <w:p>
      <w:pPr>
        <w:jc w:val="both"/>
        <w:ind w:left="2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Participant’s attempted commission of or participation in a fraud or act of dishonesty against the Company or any Affiliate that results in (or might have reasonably resulted in) material harm to the business of the Company or any Affiliate; (C) the Participant’s intentional, material violation of any contract or agreement between the Participant and the Company or any Affiliate or any statutory duty that the Participant owes to the Company or any Affiliate; or (D) the Participant’s conduct that constitutes gross insubordination, incompetence or habitual neglect of duties and that results in (or might have reasonably resulted in) material harm to the business of the Company or any Affiliate.</w:t>
      </w:r>
    </w:p>
    <w:p>
      <w:pPr>
        <w:spacing w:after="0" w:line="184"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has the meaning attributed thereto in the Participant’s written Employment Agreement or services agreement with the Company or an Affiliate and if there is no such defined term, means the Participant’s inability to substantially fulfill his or her duties or perform the contracted service for the Company for a continuous period of nine</w:t>
      </w:r>
    </w:p>
    <w:p>
      <w:pPr>
        <w:ind w:left="1300" w:right="20" w:firstLine="4"/>
        <w:spacing w:after="0" w:line="260" w:lineRule="auto"/>
        <w:tabs>
          <w:tab w:leader="none" w:pos="15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more or for an aggregate period of twelve (12) months or more during any consecutive twenty-four (24) month period, with reasonable accommodation (if required pursuant to applicable human rights legislation);</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Acknowledgement. </w:t>
      </w:r>
      <w:r>
        <w:rPr>
          <w:rFonts w:ascii="Times New Roman" w:cs="Times New Roman" w:eastAsia="Times New Roman" w:hAnsi="Times New Roman"/>
          <w:sz w:val="18"/>
          <w:szCs w:val="18"/>
          <w:color w:val="auto"/>
        </w:rPr>
        <w:t>By accepting an award pursuant to the Plan, a Canadian Participant is deemed to represent, warrant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(i) receipt of the Plan, this Addendum, and any applicable Award Agreement, (ii) that they have read, understood and agreed, freely and voluntarily, without inducement or duress, to be bound by the terms and conditions of the Plan, as amended by this Addendum, and any applicable Award Agreement, and (iii) that they have had an opportunity to review,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1064895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ind w:left="200"/>
        <w:spacing w:after="0" w:line="288" w:lineRule="auto"/>
        <w:rPr>
          <w:sz w:val="20"/>
          <w:szCs w:val="20"/>
          <w:color w:val="auto"/>
        </w:rPr>
      </w:pPr>
      <w:r>
        <w:rPr>
          <w:rFonts w:ascii="Times New Roman" w:cs="Times New Roman" w:eastAsia="Times New Roman" w:hAnsi="Times New Roman"/>
          <w:sz w:val="18"/>
          <w:szCs w:val="18"/>
          <w:color w:val="auto"/>
        </w:rPr>
        <w:t>inquiries, and seek independent legal advice as to the terms and conditions of the Plan, this Addendum and any applicable Award Agreeme</w:t>
      </w:r>
      <w:r>
        <w:rPr>
          <w:rFonts w:ascii="Times New Roman" w:cs="Times New Roman" w:eastAsia="Times New Roman" w:hAnsi="Times New Roman"/>
          <w:sz w:val="19"/>
          <w:szCs w:val="19"/>
          <w:color w:val="auto"/>
        </w:rPr>
        <w:t>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1042035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1" w:right="10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CANADIAN EMPLOYEE FORM</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errestrial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2"/>
          <w:szCs w:val="12"/>
          <w:u w:val="single" w:color="auto"/>
          <w:color w:val="auto"/>
        </w:rPr>
        <w:t>otice of</w:t>
      </w:r>
      <w:r>
        <w:rPr>
          <w:rFonts w:ascii="Times New Roman" w:cs="Times New Roman" w:eastAsia="Times New Roman" w:hAnsi="Times New Roman"/>
          <w:sz w:val="18"/>
          <w:szCs w:val="18"/>
          <w:u w:val="single" w:color="auto"/>
          <w:color w:val="auto"/>
        </w:rPr>
        <w:t xml:space="preserve"> R</w:t>
      </w:r>
      <w:r>
        <w:rPr>
          <w:rFonts w:ascii="Times New Roman" w:cs="Times New Roman" w:eastAsia="Times New Roman" w:hAnsi="Times New Roman"/>
          <w:sz w:val="12"/>
          <w:szCs w:val="12"/>
          <w:u w:val="single" w:color="auto"/>
          <w:color w:val="auto"/>
        </w:rPr>
        <w:t>estricted</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tock</w:t>
      </w:r>
      <w:r>
        <w:rPr>
          <w:rFonts w:ascii="Times New Roman" w:cs="Times New Roman" w:eastAsia="Times New Roman" w:hAnsi="Times New Roman"/>
          <w:sz w:val="18"/>
          <w:szCs w:val="18"/>
          <w:u w:val="single" w:color="auto"/>
          <w:color w:val="auto"/>
        </w:rPr>
        <w:t xml:space="preserve"> U</w:t>
      </w:r>
      <w:r>
        <w:rPr>
          <w:rFonts w:ascii="Times New Roman" w:cs="Times New Roman" w:eastAsia="Times New Roman" w:hAnsi="Times New Roman"/>
          <w:sz w:val="12"/>
          <w:szCs w:val="12"/>
          <w:u w:val="single" w:color="auto"/>
          <w:color w:val="auto"/>
        </w:rPr>
        <w:t>nit</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ward</w:t>
      </w:r>
    </w:p>
    <w:p>
      <w:pPr>
        <w:spacing w:after="0" w:line="25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Participant is hereby provided this Notice of Restricted Stock Unit Award (this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under the Terrestrial Energy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represents the right to receive a Share, its cash equivalent, or a combination thereof, each of which is subject to certain restrictions. All capitalized terms in this Notice shall have the meaning assigned to them in this Notice or in the attached Restricted Stock Unit Agreement, which is incorporated herein by reference, or, if not defined herein or therein, in the Plan.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Restricted Stock Units</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r>
    </w:tbl>
    <w:p>
      <w:pPr>
        <w:spacing w:after="0" w:line="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All of the Restricted Stock Units are nonvested and forfeitable as of the Grant Date. So long as the Participant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Employment or Active Engagement from the Grant Date through the applicable date upon which vesting is scheduled to occur,</w:t>
      </w:r>
    </w:p>
    <w:p>
      <w:pPr>
        <w:spacing w:after="0" w:line="1"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18"/>
          <w:szCs w:val="18"/>
          <w:color w:val="auto"/>
        </w:rPr>
        <w:t>______________ of the Restricted Stock Units will vest on ​</w:t>
      </w:r>
      <w:r>
        <w:rPr>
          <w:sz w:val="20"/>
          <w:szCs w:val="20"/>
          <w:color w:val="auto"/>
        </w:rPr>
        <w:tab/>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Initial Vesting Date</w:t>
      </w:r>
      <w:r>
        <w:rPr>
          <w:rFonts w:ascii="Times New Roman" w:cs="Times New Roman" w:eastAsia="Times New Roman" w:hAnsi="Times New Roman"/>
          <w:sz w:val="18"/>
          <w:szCs w:val="18"/>
          <w:color w:val="auto"/>
        </w:rPr>
        <w:t>”) and as to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-19050</wp:posOffset>
            </wp:positionV>
            <wp:extent cx="957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957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 of the original number of Restricted Stock Units at the end of each successive ___________ period following the Initial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such that 100% of the Restricted Stock Units will be vested on _______________.</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vesting schedule notwithstanding, (i) if the Participant’s Service terminates for any reason and the Termination Date occurs before all of their Restricted Stock Units have vested, the Participant’s unvested Restricted Stock Units shall be automatically forfeited upon the Termination Date and neither the Company nor any Affiliate shall have any further obligations to the Participant under this Notice or the Restricted Stock Unit Agreement, (ii) if the Participant is party to another agreement with the Company or an Affiliate that provides for accelerated vesting in certain circumstances, vesting will accelerate in accordance with the terms of such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Notice:</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Active Employment</w:t>
      </w:r>
      <w:r>
        <w:rPr>
          <w:rFonts w:ascii="Times New Roman" w:cs="Times New Roman" w:eastAsia="Times New Roman" w:hAnsi="Times New Roman"/>
          <w:sz w:val="18"/>
          <w:szCs w:val="18"/>
          <w:color w:val="auto"/>
        </w:rPr>
        <w:t>” means in the case of an employee Participant, the period during which the Participant actively performs work for the Company or any Affiliate; but excluding any period that follows or ought to have followed the later of: (a) if required pursuant to the applicable employment standards legislation as amended (the “</w:t>
      </w:r>
      <w:r>
        <w:rPr>
          <w:rFonts w:ascii="Times New Roman" w:cs="Times New Roman" w:eastAsia="Times New Roman" w:hAnsi="Times New Roman"/>
          <w:sz w:val="18"/>
          <w:szCs w:val="18"/>
          <w:b w:val="1"/>
          <w:bCs w:val="1"/>
          <w:i w:val="1"/>
          <w:iCs w:val="1"/>
          <w:color w:val="auto"/>
        </w:rPr>
        <w:t>ESL</w:t>
      </w:r>
      <w:r>
        <w:rPr>
          <w:rFonts w:ascii="Times New Roman" w:cs="Times New Roman" w:eastAsia="Times New Roman" w:hAnsi="Times New Roman"/>
          <w:sz w:val="18"/>
          <w:szCs w:val="18"/>
          <w:color w:val="auto"/>
        </w:rPr>
        <w:t>”), the end of the minimum notice of termination period that is required to be provided pursuant to the ESL (if any), or (b) the Participant’s last day of actively performing work for the Company or any Affiliate, whether that period arises from a contractual or common law right. For certainty, "Active Employment" shall be deemed to include any period of vacation or other leave permitted by legislation;</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Active Engagement</w:t>
      </w:r>
      <w:r>
        <w:rPr>
          <w:rFonts w:ascii="Times New Roman" w:cs="Times New Roman" w:eastAsia="Times New Roman" w:hAnsi="Times New Roman"/>
          <w:sz w:val="18"/>
          <w:szCs w:val="18"/>
          <w:color w:val="auto"/>
        </w:rPr>
        <w:t>” means any period in which a non-employee Participant actively provides services to the Company or any Affiliate. For certainty, “Active Engagement” shall exclude any period that follows, or ought to have followed, the Participant’s last day of actively providing services to the Company or any Affiliate;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Participant’s last day of Active Employment or Active Engagement, as applicable.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vesting date occurs during a special closed window under the Company’s Insider Trading Policy, then the Restricted Stock Units shall vest on the first trading day of the next open trading window pursuant to the Company’s Insider Trading Policy, subject in all cases to any applicable outside dates that are required to ensure compliance with applicable tax laws and the terms of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 hereby acknowledges and agrees that (a) the Company has made available to the Participant a copy of the Plan and</w:t>
      </w:r>
    </w:p>
    <w:p>
      <w:pPr>
        <w:spacing w:after="0" w:line="27" w:lineRule="exact"/>
        <w:rPr>
          <w:sz w:val="20"/>
          <w:szCs w:val="20"/>
          <w:color w:val="auto"/>
        </w:rPr>
      </w:pPr>
    </w:p>
    <w:p>
      <w:pPr>
        <w:ind w:right="20" w:firstLine="8"/>
        <w:spacing w:after="0" w:line="260"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had the opportunity to review the Plan and this Notice, including the attached Restricted Stock Unit Agreement, and to consult with the Participant’s individual tax advisor and/or legal counsel with respect to the same.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Participant agrees that they shall have no entitlement to damages or other compensation arising from or related to not receiving any or all of the awards or vesting that would have accrued to the Participant after the Termination Date. For clarity, except for the minimum period of notice of termination required to be provided pursuant to the ESL (if any and if applicable), no period of notice, if any, or payment instead of notice that is given or that ought to have been given under contract or at common law (whether or not imposed by a court), in respect of such termination of employment that follows or is in respect of a period after the Participant’s Termination Date will be considered as extending the Participant’s period of employment or engagement or be used for purposes of calculating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14" w:right="99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entitlement under the Plan, this Notice or the Restricted Stock Unit Agreement. The Participant waives the right to receive damages or payment in lieu of any forfeited vesting or grant that would have accrued during any contractual or common law reasonable notice period that exceeds the Participant’s minimum statutory notice of termination period beyond that required by the ESL (if any and if applicable).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Participant understands and agrees that the Award is granted subject to and in accordance with the terms of the Plan. By executing this Notice, the Participant further agrees to be bound by the terms of the Plan and the terms of the Award as set forth in the Restricted Stock Unit Agreement attached hereto. As of the Grant Date, this Notice, the attached Restricted Stock Unit Agreement, and the Plan set forth the entire understanding between the Participant and the Company regarding the Restricted Stock Units and supersede all prior oral and written agreements with respect to the Award. The Participant acknowledges that there may be adverse tax consequences upon settlement of the Award or disposition of the underlying Shares and that the Participant should consult a tax advisor prior to such settlement or disposition. By accepting this Award, the Participant consents to receive documents governing the Award by electronic delivery and to participate in the Plan through an online or electronic system established and maintained by the Company or another third party designated by the Company from time to time. This Notice may be executed in counterparts, each of which shall be deemed an original but all of which together will constitute one and the same instrument. Counterpart signature pages to this Notice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Terrestrial Energy Inc.</w:t>
            </w:r>
          </w:p>
        </w:tc>
        <w:tc>
          <w:tcPr>
            <w:tcW w:w="5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7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By:_______________________________</w:t>
            </w:r>
          </w:p>
        </w:tc>
        <w:tc>
          <w:tcPr>
            <w:tcW w:w="5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By:_______________________________</w:t>
            </w:r>
          </w:p>
        </w:tc>
      </w:tr>
      <w:tr>
        <w:trPr>
          <w:trHeight w:val="24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Name:</w:t>
            </w:r>
          </w:p>
        </w:tc>
        <w:tc>
          <w:tcPr>
            <w:tcW w:w="5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 [__]</w:t>
            </w:r>
          </w:p>
        </w:tc>
      </w:tr>
      <w:tr>
        <w:trPr>
          <w:trHeight w:val="24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Date: [__]</w:t>
            </w:r>
          </w:p>
        </w:tc>
      </w:tr>
      <w:tr>
        <w:trPr>
          <w:trHeight w:val="24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[__]</w:t>
            </w:r>
          </w:p>
        </w:tc>
        <w:tc>
          <w:tcPr>
            <w:tcW w:w="5720" w:type="dxa"/>
            <w:vAlign w:val="bottom"/>
          </w:tcPr>
          <w:p>
            <w:pPr>
              <w:spacing w:after="0"/>
              <w:rPr>
                <w:sz w:val="21"/>
                <w:szCs w:val="21"/>
                <w:color w:val="auto"/>
              </w:rPr>
            </w:pPr>
          </w:p>
        </w:tc>
      </w:tr>
      <w:tr>
        <w:trPr>
          <w:trHeight w:val="1155"/>
        </w:trPr>
        <w:tc>
          <w:tcPr>
            <w:tcW w:w="42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errestrial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2"/>
          <w:szCs w:val="12"/>
          <w:u w:val="single" w:color="auto"/>
          <w:color w:val="auto"/>
        </w:rPr>
        <w:t>estricted</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tock</w:t>
      </w:r>
      <w:r>
        <w:rPr>
          <w:rFonts w:ascii="Times New Roman" w:cs="Times New Roman" w:eastAsia="Times New Roman" w:hAnsi="Times New Roman"/>
          <w:sz w:val="18"/>
          <w:szCs w:val="18"/>
          <w:u w:val="single" w:color="auto"/>
          <w:color w:val="auto"/>
        </w:rPr>
        <w:t xml:space="preserve"> U</w:t>
      </w:r>
      <w:r>
        <w:rPr>
          <w:rFonts w:ascii="Times New Roman" w:cs="Times New Roman" w:eastAsia="Times New Roman" w:hAnsi="Times New Roman"/>
          <w:sz w:val="12"/>
          <w:szCs w:val="12"/>
          <w:u w:val="single" w:color="auto"/>
          <w:color w:val="auto"/>
        </w:rPr>
        <w:t>nit</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greement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Terrestrial Energy Inc., a Delaware corporation formerly known as “HCM II Acquisition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the Participant set forth in the Notice of Restricted Stock Unit Award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 Restricted Stock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that is subject to the Company’s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Notice, and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for the number of Restricted Stock Units indicated in the Notice. Capitalized terms not explicitly defined in this Agreement or in the Notice but defined in the Plan will have the same definitions as in the Plan. In the event of any conflict between the terms in this Agreement and the Plan, the terms of the Plan will control. This Agreement will be deemed to be signed by the Participant on the signing by the Participant of the Notice to which it is attached.</w:t>
      </w:r>
    </w:p>
    <w:p>
      <w:pPr>
        <w:spacing w:after="0" w:line="214" w:lineRule="exact"/>
        <w:rPr>
          <w:sz w:val="20"/>
          <w:szCs w:val="20"/>
          <w:color w:val="auto"/>
        </w:rPr>
      </w:pPr>
    </w:p>
    <w:p>
      <w:pPr>
        <w:jc w:val="both"/>
        <w:ind w:firstLine="396"/>
        <w:spacing w:after="0" w:line="239" w:lineRule="auto"/>
        <w:tabs>
          <w:tab w:leader="none" w:pos="90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issues to the Participant on the Grant Date an Award for the number of Restricted Stock Units set forth in the Notice. Each Restricted Stock Unit represents the right to receive one Share on settlement, subject to the terms and conditions set forth in this Agreement and the Plan.</w:t>
      </w:r>
    </w:p>
    <w:p>
      <w:pPr>
        <w:spacing w:after="0" w:line="226" w:lineRule="exact"/>
        <w:rPr>
          <w:rFonts w:ascii="Times New Roman" w:cs="Times New Roman" w:eastAsia="Times New Roman" w:hAnsi="Times New Roman"/>
          <w:sz w:val="22"/>
          <w:szCs w:val="22"/>
          <w:color w:val="auto"/>
        </w:rPr>
      </w:pPr>
    </w:p>
    <w:p>
      <w:pPr>
        <w:ind w:firstLine="396"/>
        <w:spacing w:after="0" w:line="234" w:lineRule="auto"/>
        <w:tabs>
          <w:tab w:leader="none" w:pos="90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grant of the Restricted Stock Units is made in consideration of the services to be rendered by the Participant to the Company.</w:t>
      </w:r>
    </w:p>
    <w:p>
      <w:pPr>
        <w:spacing w:after="0" w:line="226" w:lineRule="exact"/>
        <w:rPr>
          <w:rFonts w:ascii="Times New Roman" w:cs="Times New Roman" w:eastAsia="Times New Roman" w:hAnsi="Times New Roman"/>
          <w:sz w:val="22"/>
          <w:szCs w:val="22"/>
          <w:color w:val="auto"/>
        </w:rPr>
      </w:pPr>
    </w:p>
    <w:p>
      <w:pPr>
        <w:ind w:firstLine="396"/>
        <w:spacing w:after="0" w:line="234" w:lineRule="auto"/>
        <w:tabs>
          <w:tab w:leader="none" w:pos="90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Restricted Stock Units will vest as set forth in the Notice. In the event of a Change in Control, the Restricted Stock Units will be subject to the provisions of the Plan relating to a Change in Control.</w:t>
      </w:r>
    </w:p>
    <w:p>
      <w:pPr>
        <w:spacing w:after="0" w:line="226" w:lineRule="exact"/>
        <w:rPr>
          <w:rFonts w:ascii="Times New Roman" w:cs="Times New Roman" w:eastAsia="Times New Roman" w:hAnsi="Times New Roman"/>
          <w:sz w:val="22"/>
          <w:szCs w:val="22"/>
          <w:color w:val="auto"/>
        </w:rPr>
      </w:pPr>
    </w:p>
    <w:p>
      <w:pPr>
        <w:jc w:val="both"/>
        <w:ind w:firstLine="396"/>
        <w:spacing w:after="0" w:line="245" w:lineRule="auto"/>
        <w:tabs>
          <w:tab w:leader="none" w:pos="90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Transfer</w:t>
      </w:r>
      <w:r>
        <w:rPr>
          <w:rFonts w:ascii="Times New Roman" w:cs="Times New Roman" w:eastAsia="Times New Roman" w:hAnsi="Times New Roman"/>
          <w:sz w:val="18"/>
          <w:szCs w:val="18"/>
          <w:color w:val="auto"/>
        </w:rPr>
        <w:t>. No portion of the Restricted Stock Units may be sold, assigned, transferred, encumbered, hypothecated or pledged by the Participant other than to the Company as a result of forfeiture of the Restricted Stock Units as provided herein, unless and until settlement is made in respect of vested Restricted Stock Units in accordance with the provisions hereof. Any attempt to assign, alienate, pledge, attach, sell or otherwise transfer or encumber the Restricted Stock Units shall be wholly ineffective and, if any such attempt is made, the Restricted Stock Units will be forfeited by the Participant and all of the Participant’s rights to such Restricted Stock Units shall immediately terminate without any payment or consideration by the Company.</w:t>
      </w:r>
    </w:p>
    <w:p>
      <w:pPr>
        <w:spacing w:after="0" w:line="205" w:lineRule="exact"/>
        <w:rPr>
          <w:rFonts w:ascii="Times New Roman" w:cs="Times New Roman" w:eastAsia="Times New Roman" w:hAnsi="Times New Roman"/>
          <w:sz w:val="22"/>
          <w:szCs w:val="22"/>
          <w:color w:val="auto"/>
        </w:rPr>
      </w:pPr>
    </w:p>
    <w:p>
      <w:pPr>
        <w:ind w:left="920" w:hanging="524"/>
        <w:spacing w:after="0"/>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Rights as Shareholder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400" w:firstLine="518"/>
        <w:spacing w:after="0" w:line="282" w:lineRule="auto"/>
        <w:rPr>
          <w:sz w:val="20"/>
          <w:szCs w:val="20"/>
          <w:color w:val="auto"/>
        </w:rPr>
      </w:pPr>
      <w:r>
        <w:rPr>
          <w:rFonts w:ascii="Times New Roman" w:cs="Times New Roman" w:eastAsia="Times New Roman" w:hAnsi="Times New Roman"/>
          <w:sz w:val="18"/>
          <w:szCs w:val="18"/>
          <w:color w:val="auto"/>
        </w:rPr>
        <w:t>5.1 The Participant shall not have any rights of a shareholder with respect to the Restricted Stock Units unless and until the Restricted Stock Units vest and are settled by the issuance of Shares.</w:t>
      </w:r>
    </w:p>
    <w:p>
      <w:pPr>
        <w:spacing w:after="0" w:line="162" w:lineRule="exact"/>
        <w:rPr>
          <w:sz w:val="20"/>
          <w:szCs w:val="20"/>
          <w:color w:val="auto"/>
        </w:rPr>
      </w:pPr>
    </w:p>
    <w:p>
      <w:pPr>
        <w:jc w:val="both"/>
        <w:ind w:left="400" w:firstLine="518"/>
        <w:spacing w:after="0" w:line="266" w:lineRule="auto"/>
        <w:rPr>
          <w:sz w:val="20"/>
          <w:szCs w:val="20"/>
          <w:color w:val="auto"/>
        </w:rPr>
      </w:pPr>
      <w:r>
        <w:rPr>
          <w:rFonts w:ascii="Times New Roman" w:cs="Times New Roman" w:eastAsia="Times New Roman" w:hAnsi="Times New Roman"/>
          <w:sz w:val="18"/>
          <w:szCs w:val="18"/>
          <w:color w:val="auto"/>
        </w:rPr>
        <w:t>5.2 Upon and following the settlement of the Restricted Stock Units in Shares, the Participant shall be the record owner of the Shares unless and until such Shares are sold or otherwise disposed of and shall be entitled to all rights of a shareholder of the Company (including voting rights).</w:t>
      </w:r>
    </w:p>
    <w:p>
      <w:pPr>
        <w:spacing w:after="0" w:line="184" w:lineRule="exact"/>
        <w:rPr>
          <w:sz w:val="20"/>
          <w:szCs w:val="20"/>
          <w:color w:val="auto"/>
        </w:rPr>
      </w:pPr>
    </w:p>
    <w:p>
      <w:pPr>
        <w:ind w:left="920" w:hanging="524"/>
        <w:spacing w:after="0"/>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400" w:firstLine="518"/>
        <w:spacing w:after="0" w:line="261" w:lineRule="auto"/>
        <w:rPr>
          <w:sz w:val="20"/>
          <w:szCs w:val="20"/>
          <w:color w:val="auto"/>
        </w:rPr>
      </w:pPr>
      <w:r>
        <w:rPr>
          <w:rFonts w:ascii="Times New Roman" w:cs="Times New Roman" w:eastAsia="Times New Roman" w:hAnsi="Times New Roman"/>
          <w:sz w:val="18"/>
          <w:szCs w:val="18"/>
          <w:color w:val="auto"/>
        </w:rPr>
        <w:t>6.1 Subject to Section 9 hereof, promptly following the vesting date, and in any event no later than March 15 of the calendar year following the calendar year in which such vesting occurs, the Company shall (a) issue and deliver to the Participant the number of Shares equal to the number of vested Restricted Stock Units and (b) enter the Participant’s name on the books of the Company as the holder of record with respect to the Shares delivered to the Participant.</w:t>
      </w:r>
    </w:p>
    <w:p>
      <w:pPr>
        <w:spacing w:after="0" w:line="180" w:lineRule="exact"/>
        <w:rPr>
          <w:sz w:val="20"/>
          <w:szCs w:val="20"/>
          <w:color w:val="auto"/>
        </w:rPr>
      </w:pPr>
    </w:p>
    <w:p>
      <w:pPr>
        <w:jc w:val="both"/>
        <w:ind w:left="400" w:firstLine="518"/>
        <w:spacing w:after="0" w:line="258" w:lineRule="auto"/>
        <w:rPr>
          <w:sz w:val="20"/>
          <w:szCs w:val="20"/>
          <w:color w:val="auto"/>
        </w:rPr>
      </w:pPr>
      <w:r>
        <w:rPr>
          <w:rFonts w:ascii="Times New Roman" w:cs="Times New Roman" w:eastAsia="Times New Roman" w:hAnsi="Times New Roman"/>
          <w:sz w:val="18"/>
          <w:szCs w:val="18"/>
          <w:color w:val="auto"/>
        </w:rPr>
        <w:t>6.2 If the Participant is deemed a “specified employee” within the meaning of Section 409A of the Code, as determined by the Committee, at a time when the Participant becomes eligible for settlement of the Restricted Stock Units upon the Participant’s “separation from service” within the meaning of Section 409A of the Code, then to the extent necessary to prevent any accelerated or additional tax under Section 409A of the Code, such settlement will be delayed until the earlier of: (a) the date that is six months following the Participant’s separation from service and (b) the Participant’s death.</w:t>
      </w:r>
    </w:p>
    <w:p>
      <w:pPr>
        <w:spacing w:after="0" w:line="183" w:lineRule="exact"/>
        <w:rPr>
          <w:sz w:val="20"/>
          <w:szCs w:val="20"/>
          <w:color w:val="auto"/>
        </w:rPr>
      </w:pPr>
    </w:p>
    <w:p>
      <w:pPr>
        <w:jc w:val="both"/>
        <w:ind w:left="400" w:right="20" w:firstLine="518"/>
        <w:spacing w:after="0" w:line="282" w:lineRule="auto"/>
        <w:rPr>
          <w:sz w:val="20"/>
          <w:szCs w:val="20"/>
          <w:color w:val="auto"/>
        </w:rPr>
      </w:pPr>
      <w:r>
        <w:rPr>
          <w:rFonts w:ascii="Times New Roman" w:cs="Times New Roman" w:eastAsia="Times New Roman" w:hAnsi="Times New Roman"/>
          <w:sz w:val="18"/>
          <w:szCs w:val="18"/>
          <w:color w:val="auto"/>
        </w:rPr>
        <w:t>6.3 To the extent that the Participant does not vest in any Restricted Stock Units, all interests in such Restricted Stock Units shall be forfeited automatically without consideration.</w:t>
      </w:r>
    </w:p>
    <w:p>
      <w:pPr>
        <w:spacing w:after="0" w:line="189" w:lineRule="exact"/>
        <w:rPr>
          <w:sz w:val="20"/>
          <w:szCs w:val="20"/>
          <w:color w:val="auto"/>
        </w:rPr>
      </w:pPr>
    </w:p>
    <w:p>
      <w:pPr>
        <w:jc w:val="both"/>
        <w:ind w:firstLine="396"/>
        <w:spacing w:after="0" w:line="239" w:lineRule="auto"/>
        <w:tabs>
          <w:tab w:leader="none" w:pos="90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Neither the Plan nor this Agreement shall confer upon the Participant any right to be retained as an employee or consultant of the Company or any Affiliate. Further, nothing in the Plan or this Agreement shall be construed to limit the discretion of the Company to terminate the Participant’s Service at any time, with or without Cause.</w:t>
      </w:r>
    </w:p>
    <w:p>
      <w:pPr>
        <w:spacing w:after="0" w:line="226" w:lineRule="exact"/>
        <w:rPr>
          <w:rFonts w:ascii="Times New Roman" w:cs="Times New Roman" w:eastAsia="Times New Roman" w:hAnsi="Times New Roman"/>
          <w:sz w:val="22"/>
          <w:szCs w:val="22"/>
          <w:color w:val="auto"/>
        </w:rPr>
      </w:pPr>
    </w:p>
    <w:p>
      <w:pPr>
        <w:ind w:right="20" w:firstLine="396"/>
        <w:spacing w:after="0" w:line="234" w:lineRule="auto"/>
        <w:tabs>
          <w:tab w:leader="none" w:pos="90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change is made to the outstanding Stock or the capital structure of the Company, if required, the Restricted Stock Units shall be adjusted or terminated in any manner as contemplated by Section 4.3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344170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ind w:left="524" w:hanging="524"/>
        <w:spacing w:after="0"/>
        <w:tabs>
          <w:tab w:leader="none" w:pos="5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Tax Liability and Withholding</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4" w:firstLine="518"/>
        <w:spacing w:after="0" w:line="252" w:lineRule="auto"/>
        <w:rPr>
          <w:sz w:val="20"/>
          <w:szCs w:val="20"/>
          <w:color w:val="auto"/>
        </w:rPr>
      </w:pPr>
      <w:r>
        <w:rPr>
          <w:rFonts w:ascii="Times New Roman" w:cs="Times New Roman" w:eastAsia="Times New Roman" w:hAnsi="Times New Roman"/>
          <w:sz w:val="18"/>
          <w:szCs w:val="18"/>
          <w:color w:val="auto"/>
        </w:rPr>
        <w:t>9.1 The Company’s obligations with respect to the settlement of Restricted Stock Units shall be subject to the Participant’s satisfaction of all applicable federal, state and local income and other tax withholding requirements (as well as any applicable Canadian federal, provincial, territorial withholding requirements on account of taxes or social security contributions). The Participant shall make appropriate arrangements with the Company to provide for the amount of withholding required by Sections 3102 and 3402 of the Code and applicable state income tax laws (as well as any applicable Canadian federal, provincial, territorial withholding requirements on account of taxes or social security contributions). The Committee may, in its sole discretion, permit the Participant to pay all such amounts of tax withholding, or any part thereof, by electing (a) to tender a cash payment, (b) to have the Company withhold from Shares otherwise issuable to the Participant a number of Shares having a value equal to the amount required to be withheld or such lesser amount as may be elected by the Participant; provided however, that the number of Shares so withheld shall not exceed the maximum amount required to be withheld (or such lesser amount as may be necessary to avoid classification as a liability under applicable accounting standards), or (C) to transfer to the Company a number of Shares that were acquired by the Participant more than six months prior to the transfer to the Company and that have a value equal to the amount required to be withheld or such lesser amount as may be elected by the Participant. All elections shall be subject to the approval or disapproval of the Committee. The value of the Shares to be withheld shall be based on the Fair Market Value of the Shares on the date that the amount of tax to be withheld is to be determined (the “</w:t>
      </w:r>
      <w:r>
        <w:rPr>
          <w:rFonts w:ascii="Times New Roman" w:cs="Times New Roman" w:eastAsia="Times New Roman" w:hAnsi="Times New Roman"/>
          <w:sz w:val="18"/>
          <w:szCs w:val="18"/>
          <w:b w:val="1"/>
          <w:bCs w:val="1"/>
          <w:i w:val="1"/>
          <w:iCs w:val="1"/>
          <w:color w:val="auto"/>
        </w:rPr>
        <w:t>Tax Date</w:t>
      </w:r>
      <w:r>
        <w:rPr>
          <w:rFonts w:ascii="Times New Roman" w:cs="Times New Roman" w:eastAsia="Times New Roman" w:hAnsi="Times New Roman"/>
          <w:sz w:val="18"/>
          <w:szCs w:val="18"/>
          <w:color w:val="auto"/>
        </w:rPr>
        <w:t>”). Any such election by the Participant to have Shares withheld for this purpose will be subject to the following restrictions: (i) all elections must be made prior to the Tax Date; (ii) all elections shall be irrevocable; (iii) if the Participant is an officer or director of the Company within the meaning of Section 16 of the Securities Exchange Act of 1934, as it may be amended from time to time, (“</w:t>
      </w:r>
      <w:r>
        <w:rPr>
          <w:rFonts w:ascii="Times New Roman" w:cs="Times New Roman" w:eastAsia="Times New Roman" w:hAnsi="Times New Roman"/>
          <w:sz w:val="18"/>
          <w:szCs w:val="18"/>
          <w:b w:val="1"/>
          <w:bCs w:val="1"/>
          <w:i w:val="1"/>
          <w:iCs w:val="1"/>
          <w:color w:val="auto"/>
        </w:rPr>
        <w:t>Section 16</w:t>
      </w:r>
      <w:r>
        <w:rPr>
          <w:rFonts w:ascii="Times New Roman" w:cs="Times New Roman" w:eastAsia="Times New Roman" w:hAnsi="Times New Roman"/>
          <w:sz w:val="18"/>
          <w:szCs w:val="18"/>
          <w:color w:val="auto"/>
        </w:rPr>
        <w:t>”), the Participant must satisfy the requirements of Section 16 and any applicable rules thereunder with respect to the use of Shares to satisfy such tax withholding obligation.</w:t>
      </w:r>
    </w:p>
    <w:p>
      <w:pPr>
        <w:spacing w:after="0" w:line="189" w:lineRule="exact"/>
        <w:rPr>
          <w:sz w:val="20"/>
          <w:szCs w:val="20"/>
          <w:color w:val="auto"/>
        </w:rPr>
      </w:pPr>
    </w:p>
    <w:p>
      <w:pPr>
        <w:jc w:val="both"/>
        <w:ind w:left="4" w:firstLine="518"/>
        <w:spacing w:after="0" w:line="256" w:lineRule="auto"/>
        <w:rPr>
          <w:sz w:val="20"/>
          <w:szCs w:val="20"/>
          <w:color w:val="auto"/>
        </w:rPr>
      </w:pPr>
      <w:r>
        <w:rPr>
          <w:rFonts w:ascii="Times New Roman" w:cs="Times New Roman" w:eastAsia="Times New Roman" w:hAnsi="Times New Roman"/>
          <w:sz w:val="18"/>
          <w:szCs w:val="18"/>
          <w:color w:val="auto"/>
        </w:rPr>
        <w:t>9.2 Notwithstanding any action the Company takes with respect to any or all income tax, social insurance, payroll tax, or other tax-related withholding (other than the employer portion of any such amounts)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214" w:lineRule="exact"/>
        <w:rPr>
          <w:sz w:val="20"/>
          <w:szCs w:val="20"/>
          <w:color w:val="auto"/>
        </w:rPr>
      </w:pPr>
    </w:p>
    <w:p>
      <w:pPr>
        <w:jc w:val="both"/>
        <w:ind w:left="-396" w:firstLine="397"/>
        <w:spacing w:after="0" w:line="243" w:lineRule="auto"/>
        <w:tabs>
          <w:tab w:leader="none" w:pos="5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The issuance, transfer, vesting and ownership of Shares shall be subject to compliance by the Company and the Participant with all applicable requirements of federal and state securities laws and with all applicable requirements of any stock exchange on which the Stock may be listed at the time of such issuance or transfer. The Participant agrees to cooperate with the Company to ensure compliance with such laws and requirements.</w:t>
      </w:r>
    </w:p>
    <w:p>
      <w:pPr>
        <w:spacing w:after="0" w:line="222" w:lineRule="exact"/>
        <w:rPr>
          <w:rFonts w:ascii="Times New Roman" w:cs="Times New Roman" w:eastAsia="Times New Roman" w:hAnsi="Times New Roman"/>
          <w:sz w:val="22"/>
          <w:szCs w:val="22"/>
          <w:color w:val="auto"/>
        </w:rPr>
      </w:pPr>
    </w:p>
    <w:p>
      <w:pPr>
        <w:jc w:val="both"/>
        <w:ind w:left="-396" w:firstLine="396"/>
        <w:spacing w:after="0" w:line="245" w:lineRule="auto"/>
        <w:tabs>
          <w:tab w:leader="none" w:pos="5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Every notice or other communication relating to this Agreement shall be in writing, and shall be mailed via certified mail or overnight courier, postage prepaid, to the party for whom it is intended at such address as may from time to time be designated by it in a notice mailed or delivered to the other party as herein provided; provided that, unless and until some other address be so designated, all notices or communications by the Participant to the Company shall be mailed or delivered to the Company at its principal executive office, and all notices or communications by the Company to the Participant may be given to the Participant personally or may be mailed to the Participant at the address as recorded in the records of the Company.</w:t>
      </w:r>
    </w:p>
    <w:p>
      <w:pPr>
        <w:spacing w:after="0" w:line="224" w:lineRule="exact"/>
        <w:rPr>
          <w:rFonts w:ascii="Times New Roman" w:cs="Times New Roman" w:eastAsia="Times New Roman" w:hAnsi="Times New Roman"/>
          <w:sz w:val="22"/>
          <w:szCs w:val="22"/>
          <w:color w:val="auto"/>
        </w:rPr>
      </w:pPr>
    </w:p>
    <w:p>
      <w:pPr>
        <w:jc w:val="both"/>
        <w:ind w:left="-396" w:firstLine="396"/>
        <w:spacing w:after="0" w:line="243" w:lineRule="auto"/>
        <w:tabs>
          <w:tab w:leader="none" w:pos="5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substantive laws of the State of Delaware without regard to its conflict of laws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22" w:lineRule="exact"/>
        <w:rPr>
          <w:rFonts w:ascii="Times New Roman" w:cs="Times New Roman" w:eastAsia="Times New Roman" w:hAnsi="Times New Roman"/>
          <w:sz w:val="22"/>
          <w:szCs w:val="22"/>
          <w:color w:val="auto"/>
        </w:rPr>
      </w:pPr>
    </w:p>
    <w:p>
      <w:pPr>
        <w:jc w:val="both"/>
        <w:ind w:left="-396" w:firstLine="396"/>
        <w:spacing w:after="0" w:line="246" w:lineRule="auto"/>
        <w:tabs>
          <w:tab w:leader="none" w:pos="5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In accordance with Section 13.6 of the Plan, by accepting the Restricted Stock Units, the Participant acknowledges that the Participant may be bound by, and subject to all of the terms and conditions of, the Clawback Policy, and the Participant agrees to abide by any applicable terms of the Clawback Policy. To the extent that the Board determines that all or any portion of the Restricted Stock Units or the Shares issued on settlement thereof (or the value of those Shares) must be cancelled, forfeited, repaid, or otherwise recovered by the Company, the Participant shall promptly take whatever action is necessary to effectuate such cancellation, forfeiture, repayment, or recovery. In the event of any conflict between the terms of the Clawback Policy and the terms of the Plan or this Agreement, the terms of the Clawback Policy shall govern.</w:t>
      </w:r>
    </w:p>
    <w:p>
      <w:pPr>
        <w:spacing w:after="0" w:line="222" w:lineRule="exact"/>
        <w:rPr>
          <w:rFonts w:ascii="Times New Roman" w:cs="Times New Roman" w:eastAsia="Times New Roman" w:hAnsi="Times New Roman"/>
          <w:sz w:val="22"/>
          <w:szCs w:val="22"/>
          <w:color w:val="auto"/>
        </w:rPr>
      </w:pPr>
    </w:p>
    <w:p>
      <w:pPr>
        <w:jc w:val="both"/>
        <w:ind w:left="-396" w:firstLine="396"/>
        <w:spacing w:after="0" w:line="243" w:lineRule="auto"/>
        <w:tabs>
          <w:tab w:leader="none" w:pos="5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Restricted Stock Units Subject to Plan</w:t>
      </w:r>
      <w:r>
        <w:rPr>
          <w:rFonts w:ascii="Times New Roman" w:cs="Times New Roman" w:eastAsia="Times New Roman" w:hAnsi="Times New Roman"/>
          <w:sz w:val="18"/>
          <w:szCs w:val="18"/>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340995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4"/>
          </w:cols>
          <w:pgMar w:left="1376" w:top="130" w:right="999" w:bottom="1440" w:gutter="0" w:footer="0" w:header="0"/>
        </w:sectPr>
      </w:pPr>
    </w:p>
    <w:bookmarkStart w:id="39" w:name="page40"/>
    <w:bookmarkEnd w:id="39"/>
    <w:p>
      <w:pPr>
        <w:ind w:left="-396" w:firstLine="396"/>
        <w:spacing w:after="0" w:line="243"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Guarantee.</w:t>
      </w:r>
      <w:r>
        <w:rPr>
          <w:rFonts w:ascii="Times New Roman" w:cs="Times New Roman" w:eastAsia="Times New Roman" w:hAnsi="Times New Roman"/>
          <w:sz w:val="18"/>
          <w:szCs w:val="18"/>
          <w:color w:val="auto"/>
        </w:rPr>
        <w:t xml:space="preserve"> Neither the Plan nor this Agreement shall confer upon Participant any right to continued employment or engagement or a promise of future employment or engagement with Company or any Affiliate. Further, nothing in the Plan or this Agreement shall be construed to limit the discretion of the Company or an Affiliate to terminate Participant’s employment or engagement at any time, with or without Cause.</w:t>
      </w:r>
    </w:p>
    <w:p>
      <w:pPr>
        <w:spacing w:after="0" w:line="222" w:lineRule="exact"/>
        <w:rPr>
          <w:rFonts w:ascii="Times New Roman" w:cs="Times New Roman" w:eastAsia="Times New Roman" w:hAnsi="Times New Roman"/>
          <w:sz w:val="22"/>
          <w:szCs w:val="22"/>
          <w:color w:val="auto"/>
        </w:rPr>
      </w:pPr>
    </w:p>
    <w:p>
      <w:pPr>
        <w:ind w:left="-396" w:right="120" w:firstLine="397"/>
        <w:spacing w:after="0" w:line="239"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Impact on Other Benefits.</w:t>
      </w:r>
      <w:r>
        <w:rPr>
          <w:rFonts w:ascii="Times New Roman" w:cs="Times New Roman" w:eastAsia="Times New Roman" w:hAnsi="Times New Roman"/>
          <w:sz w:val="18"/>
          <w:szCs w:val="18"/>
          <w:color w:val="auto"/>
        </w:rPr>
        <w:t xml:space="preserve"> Unless otherwise required by the ESL, the value of the Restricted Stock Units or Shares shall not be part of the Participant’s normal or expected compensation for purposes of calculating any severance, retirement, welfare, insurance or similar employee benefit unless such benefit explicitly provides for inclusion of the applicable value.</w:t>
      </w:r>
    </w:p>
    <w:p>
      <w:pPr>
        <w:spacing w:after="0" w:line="226" w:lineRule="exact"/>
        <w:rPr>
          <w:rFonts w:ascii="Times New Roman" w:cs="Times New Roman" w:eastAsia="Times New Roman" w:hAnsi="Times New Roman"/>
          <w:sz w:val="22"/>
          <w:szCs w:val="22"/>
          <w:color w:val="auto"/>
        </w:rPr>
      </w:pPr>
    </w:p>
    <w:p>
      <w:pPr>
        <w:jc w:val="both"/>
        <w:ind w:left="-396" w:firstLine="396"/>
        <w:spacing w:after="0" w:line="243"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This Agreement shall be binding upon and inure to the benefit of the successors and assigns of the Company. Subject to the restrictions on transfer set forth herein, this Agreement shall be binding upon the Participant and the Participant’s heirs, executors, administrators, legal representatives, successors and assigns.</w:t>
      </w:r>
    </w:p>
    <w:p>
      <w:pPr>
        <w:spacing w:after="0" w:line="222" w:lineRule="exact"/>
        <w:rPr>
          <w:rFonts w:ascii="Times New Roman" w:cs="Times New Roman" w:eastAsia="Times New Roman" w:hAnsi="Times New Roman"/>
          <w:sz w:val="22"/>
          <w:szCs w:val="22"/>
          <w:color w:val="auto"/>
        </w:rPr>
      </w:pPr>
    </w:p>
    <w:p>
      <w:pPr>
        <w:jc w:val="both"/>
        <w:ind w:left="-396" w:firstLine="396"/>
        <w:spacing w:after="0" w:line="239"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226" w:lineRule="exact"/>
        <w:rPr>
          <w:rFonts w:ascii="Times New Roman" w:cs="Times New Roman" w:eastAsia="Times New Roman" w:hAnsi="Times New Roman"/>
          <w:sz w:val="22"/>
          <w:szCs w:val="22"/>
          <w:color w:val="auto"/>
        </w:rPr>
      </w:pPr>
    </w:p>
    <w:p>
      <w:pPr>
        <w:jc w:val="both"/>
        <w:ind w:left="-396" w:firstLine="396"/>
        <w:spacing w:after="0" w:line="244"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Discretionary Nature of Plan</w:t>
      </w:r>
      <w:r>
        <w:rPr>
          <w:rFonts w:ascii="Times New Roman" w:cs="Times New Roman" w:eastAsia="Times New Roman" w:hAnsi="Times New Roman"/>
          <w:sz w:val="18"/>
          <w:szCs w:val="18"/>
          <w:color w:val="auto"/>
        </w:rPr>
        <w:t>. The Plan is discretionary and may be amended, cancelled or terminated by the Company at any time, in its discretion. The grant of the Restricted Stock Units hereunder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or engagement by the Company or its Affiliates.</w:t>
      </w:r>
    </w:p>
    <w:p>
      <w:pPr>
        <w:spacing w:after="0" w:line="224" w:lineRule="exact"/>
        <w:rPr>
          <w:rFonts w:ascii="Times New Roman" w:cs="Times New Roman" w:eastAsia="Times New Roman" w:hAnsi="Times New Roman"/>
          <w:sz w:val="22"/>
          <w:szCs w:val="22"/>
          <w:color w:val="auto"/>
        </w:rPr>
      </w:pPr>
    </w:p>
    <w:p>
      <w:pPr>
        <w:ind w:left="-396" w:right="20" w:firstLine="396"/>
        <w:spacing w:after="0" w:line="234"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has the right to amend, alter, suspend, discontinue or cancel this Agreement; provided, that, no such amendment shall materially and adversely affect the Participant’s rights under this Agreement without the Participant’s consent.</w:t>
      </w:r>
    </w:p>
    <w:p>
      <w:pPr>
        <w:spacing w:after="0" w:line="226" w:lineRule="exact"/>
        <w:rPr>
          <w:rFonts w:ascii="Times New Roman" w:cs="Times New Roman" w:eastAsia="Times New Roman" w:hAnsi="Times New Roman"/>
          <w:sz w:val="22"/>
          <w:szCs w:val="22"/>
          <w:color w:val="auto"/>
        </w:rPr>
      </w:pPr>
    </w:p>
    <w:p>
      <w:pPr>
        <w:jc w:val="both"/>
        <w:ind w:left="-396" w:firstLine="396"/>
        <w:spacing w:after="0" w:line="247"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is intended to comply with, or be exempt from, the provisions of Section 409A of the Code and shall be construed and interpreted in accordance with such intent. The Company reserves the right to amend this Agreement to the extent it reasonably determines is necessary in order to avoid any adverse tax consequences under Section 409A of the Code. Notwithstanding anything to the contrary, none of the Company, its officers, directors, employees, agents or representatives guarantees that this Agreement complies with, or is exempt from, the provisions of Section 409A of the Code and none of the foregoing shall have any liability for the failure of this Agreement to comply with, or be exempt from, the provisions of Section 409A of the Code. To the extent that any payment or benefit under this Agreement is nonqualified deferred compensation subject to Section 409A of the Code, as determined by the Committee, and is payable to the Participant by reason of termination of employment, such payment or benefit shall be made or provided to the Participant only upon a “separation from service,” as defined under Section 409A of the Code. Each payment under this Agreement shall be treated as a separate payment under Section 409A of the Code.</w:t>
      </w:r>
    </w:p>
    <w:p>
      <w:pPr>
        <w:spacing w:after="0" w:line="225" w:lineRule="exact"/>
        <w:rPr>
          <w:rFonts w:ascii="Times New Roman" w:cs="Times New Roman" w:eastAsia="Times New Roman" w:hAnsi="Times New Roman"/>
          <w:sz w:val="22"/>
          <w:szCs w:val="22"/>
          <w:color w:val="auto"/>
        </w:rPr>
      </w:pPr>
    </w:p>
    <w:p>
      <w:pPr>
        <w:ind w:left="-396" w:right="260" w:firstLine="396"/>
        <w:spacing w:after="0" w:line="239"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Counterparts, Copies</w:t>
      </w:r>
      <w:r>
        <w:rPr>
          <w:rFonts w:ascii="Times New Roman" w:cs="Times New Roman" w:eastAsia="Times New Roman" w:hAnsi="Times New Roman"/>
          <w:sz w:val="18"/>
          <w:szCs w:val="18"/>
          <w:color w:val="auto"/>
        </w:rPr>
        <w:t>. This Agreement may be signed in counterparts, each of which when executed shall be deemed an original but all of which taken together shall constitute one and the same agreement. Fax or PDF copies of the parties’ signatures shall have the same force and effect as original signatures.</w:t>
      </w:r>
    </w:p>
    <w:p>
      <w:pPr>
        <w:spacing w:after="0" w:line="226" w:lineRule="exact"/>
        <w:rPr>
          <w:rFonts w:ascii="Times New Roman" w:cs="Times New Roman" w:eastAsia="Times New Roman" w:hAnsi="Times New Roman"/>
          <w:sz w:val="22"/>
          <w:szCs w:val="22"/>
          <w:color w:val="auto"/>
        </w:rPr>
      </w:pPr>
    </w:p>
    <w:p>
      <w:pPr>
        <w:jc w:val="both"/>
        <w:ind w:left="-396" w:firstLine="396"/>
        <w:spacing w:after="0" w:line="247"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Participant hereby acknowledges receipt of a copy of the Plan and this Agreement (such delivery may be electronic). The Participant has read and understands the terms and provisions thereof and accepts the Restricted Stock Units subject to all the terms and conditions of the Plan and this Agreement. The Company is not providing any tax, legal or financial advice, nor is the Company making any recommendations regarding the Participant’s participation in the Plan, or the Participant’s acquisition or sale of the Shares delivered on settlement of the Restricted Stock Units. The Participant acknowledges that there may be adverse tax consequences upon the vesting or settlement of the Restricted Stock Units or disposition of the underlying shares and that the Participant has been advised to consult a tax advisor prior to such vesting, settlement or disposition. With respect to such matters, the Participant relies solely on such advisors and not on any statements or representations of the Company or any of its agents, written or oral. The Participant understands that the Participant (and not the Company) shall be responsible for the Participant’s own tax liability that may arise as a result of this investment or the transactions contemplated by this Agreement.</w:t>
      </w:r>
    </w:p>
    <w:p>
      <w:pPr>
        <w:spacing w:after="0" w:line="225" w:lineRule="exact"/>
        <w:rPr>
          <w:rFonts w:ascii="Times New Roman" w:cs="Times New Roman" w:eastAsia="Times New Roman" w:hAnsi="Times New Roman"/>
          <w:sz w:val="22"/>
          <w:szCs w:val="22"/>
          <w:color w:val="auto"/>
        </w:rPr>
      </w:pPr>
    </w:p>
    <w:p>
      <w:pPr>
        <w:jc w:val="both"/>
        <w:ind w:left="-396" w:firstLine="396"/>
        <w:spacing w:after="0" w:line="246" w:lineRule="auto"/>
        <w:tabs>
          <w:tab w:leader="none" w:pos="5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Participant hereby explicitly and unambiguously consents to the collection, use and transfer, whether in electronic or other form, of the Participant’s Personal Data (as described below) by and among, as applicable, the Company and any Subsidiary or Affiliate or third parties as may be selected by the Company for the exclusive purpose of implementing, administering, and managing the Participant’s participation in the Plan. The Participant understands that refusal or withdrawal of consent will affect the Participant’s ability to participate in the Plan; without providing consent, the Participant will not be able to participate in the Plan or realize benefits (if any) from the Award. The Participant understands that the Company and any Subsidiary or Affiliate or designated third parties may hold personal information about the Participant, including, but not limited to, the Participant’s name,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341630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24"/>
          </w:cols>
          <w:pgMar w:left="1376" w:top="148" w:right="99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and telephone number, date of birth, social insurance number or other identification number, salary, nationality, job title, any shares of stock or directorships held in the Company or any Subsidiary or Affiliate, details of all Awards or any other entitlement to Shares awarded, canceled, exercised, vested, unvested or outstanding in the Participant’s favor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The Participant understands that Personal Data may be transferred to any Subsidiary or Affiliate or third parties assisting in the implementation, administration and management of the Plan, that these recipients may be located in the United States, the Participant’s country of residence, or elsewhere, and that the recipient’s country may have different data privacy laws and protections than the Participant’s country of residence. In particular, the Company may transfer Personal Data to the broker or stock plan administrator assisting with the Plan, to its legal counsel and tax/accounting advisor, and to the Subsidiary or Affiliate that is the Participant’s employer and its payroll provider.</w:t>
      </w:r>
    </w:p>
    <w:p>
      <w:pPr>
        <w:spacing w:after="0" w:line="219" w:lineRule="exact"/>
        <w:rPr>
          <w:sz w:val="20"/>
          <w:szCs w:val="20"/>
          <w:color w:val="auto"/>
        </w:rPr>
      </w:pPr>
    </w:p>
    <w:p>
      <w:pPr>
        <w:ind w:right="60" w:firstLine="396"/>
        <w:spacing w:after="0" w:line="246" w:lineRule="auto"/>
        <w:tabs>
          <w:tab w:leader="none" w:pos="90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Canadian Tax Treatment.</w:t>
      </w:r>
      <w:r>
        <w:rPr>
          <w:rFonts w:ascii="Times New Roman" w:cs="Times New Roman" w:eastAsia="Times New Roman" w:hAnsi="Times New Roman"/>
          <w:sz w:val="18"/>
          <w:szCs w:val="18"/>
          <w:color w:val="auto"/>
        </w:rPr>
        <w:t xml:space="preserve"> This Agreement is intended to comply with and be subject to the provisions of section 7 of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w:t>
      </w:r>
      <w:r>
        <w:rPr>
          <w:rFonts w:ascii="Times New Roman" w:cs="Times New Roman" w:eastAsia="Times New Roman" w:hAnsi="Times New Roman"/>
          <w:sz w:val="18"/>
          <w:szCs w:val="18"/>
          <w:b w:val="1"/>
          <w:bCs w:val="1"/>
          <w:color w:val="auto"/>
        </w:rPr>
        <w:t>Canadian Tax Act</w:t>
      </w:r>
      <w:r>
        <w:rPr>
          <w:rFonts w:ascii="Times New Roman" w:cs="Times New Roman" w:eastAsia="Times New Roman" w:hAnsi="Times New Roman"/>
          <w:sz w:val="18"/>
          <w:szCs w:val="18"/>
          <w:color w:val="auto"/>
        </w:rPr>
        <w:t>”) and shall be construed and interpreted in accordance with such intent.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reserves the right to amend this Agreement to the extent it reasonably determines is necessary in order to avoid any adverse tax consequences under the Canadian Tax Act. Notwithstanding anything to the contrary, none of the Company, its officers, directors, employees, agents or representatives guarantees that this Agreement complies with or is subject to the provisions of section 7 of the Canadian Tax Act and none of the foregoing shall have any liability for the failure of this Agreement to comply with, or be subject to the provisions of section 7 of the Canadian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341630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5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b w:val="1"/>
          <w:bCs w:val="1"/>
          <w:color w:val="auto"/>
        </w:rPr>
        <w:t>CANADIAN NON-EMPLOYEE DIRECTOR FORM</w:t>
      </w:r>
    </w:p>
    <w:p>
      <w:pPr>
        <w:spacing w:after="0" w:line="27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errestrial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2"/>
          <w:szCs w:val="12"/>
          <w:u w:val="single" w:color="auto"/>
          <w:color w:val="auto"/>
        </w:rPr>
        <w:t>otice of</w:t>
      </w:r>
      <w:r>
        <w:rPr>
          <w:rFonts w:ascii="Times New Roman" w:cs="Times New Roman" w:eastAsia="Times New Roman" w:hAnsi="Times New Roman"/>
          <w:sz w:val="18"/>
          <w:szCs w:val="18"/>
          <w:u w:val="single" w:color="auto"/>
          <w:color w:val="auto"/>
        </w:rPr>
        <w:t xml:space="preserve"> R</w:t>
      </w:r>
      <w:r>
        <w:rPr>
          <w:rFonts w:ascii="Times New Roman" w:cs="Times New Roman" w:eastAsia="Times New Roman" w:hAnsi="Times New Roman"/>
          <w:sz w:val="12"/>
          <w:szCs w:val="12"/>
          <w:u w:val="single" w:color="auto"/>
          <w:color w:val="auto"/>
        </w:rPr>
        <w:t>estricted</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tock</w:t>
      </w:r>
      <w:r>
        <w:rPr>
          <w:rFonts w:ascii="Times New Roman" w:cs="Times New Roman" w:eastAsia="Times New Roman" w:hAnsi="Times New Roman"/>
          <w:sz w:val="18"/>
          <w:szCs w:val="18"/>
          <w:u w:val="single" w:color="auto"/>
          <w:color w:val="auto"/>
        </w:rPr>
        <w:t xml:space="preserve"> U</w:t>
      </w:r>
      <w:r>
        <w:rPr>
          <w:rFonts w:ascii="Times New Roman" w:cs="Times New Roman" w:eastAsia="Times New Roman" w:hAnsi="Times New Roman"/>
          <w:sz w:val="12"/>
          <w:szCs w:val="12"/>
          <w:u w:val="single" w:color="auto"/>
          <w:color w:val="auto"/>
        </w:rPr>
        <w:t>nit</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ward</w:t>
      </w:r>
    </w:p>
    <w:p>
      <w:pPr>
        <w:spacing w:after="0" w:line="255"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Participant is hereby provided this Notice of Restricted Stock Unit Award (this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under the Terrestrial Energy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represents the right to receive a Share, its cash equivalent, or a combination thereof, each of which is subject to certain restrictions. All capitalized terms in this Notice shall have the meaning assigned to them in this Notice or in the attached Restricted Stock Unit Agreement, which is incorporated herein by reference, or, if not defined herein or therein, in the Plan.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Restricted Stock Units</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r>
    </w:tbl>
    <w:p>
      <w:pPr>
        <w:spacing w:after="0" w:line="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All of the Restricted Stock Units are nonvested and forfeitable as of the Grant Date. So long as the Participant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Employment or Active Engagement from the Grant Date through the applicable date upon which vesting is scheduled to occur,</w:t>
      </w:r>
    </w:p>
    <w:p>
      <w:pPr>
        <w:spacing w:after="0" w:line="1"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18"/>
          <w:szCs w:val="18"/>
          <w:color w:val="auto"/>
        </w:rPr>
        <w:t>______________ of the Restricted Stock Units will vest on ​</w:t>
      </w:r>
      <w:r>
        <w:rPr>
          <w:sz w:val="20"/>
          <w:szCs w:val="20"/>
          <w:color w:val="auto"/>
        </w:rPr>
        <w:tab/>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Initial Vesting Date</w:t>
      </w:r>
      <w:r>
        <w:rPr>
          <w:rFonts w:ascii="Times New Roman" w:cs="Times New Roman" w:eastAsia="Times New Roman" w:hAnsi="Times New Roman"/>
          <w:sz w:val="18"/>
          <w:szCs w:val="18"/>
          <w:color w:val="auto"/>
        </w:rPr>
        <w:t>”) and as to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-5080</wp:posOffset>
            </wp:positionV>
            <wp:extent cx="957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of the original number of Restricted Stock Units at the end of each successive ___________ period following the Initial Vesting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such that 100% of the Restricted Stock Units will be vested on _______________.</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vesting schedule notwithstanding, if the Participant’s Service terminates for any reason and the Termination Date occurs before all of their Restricted Stock Units have vested, the Participant’s unvested Restricted Stock Units shall be automatically forfeited upon the Termination Date and neither the Company nor any Affiliate shall have any further obligations to the Participant under this Notice or the Restricted Stock Unit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Notice:</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Active Employment</w:t>
      </w:r>
      <w:r>
        <w:rPr>
          <w:rFonts w:ascii="Times New Roman" w:cs="Times New Roman" w:eastAsia="Times New Roman" w:hAnsi="Times New Roman"/>
          <w:sz w:val="18"/>
          <w:szCs w:val="18"/>
          <w:color w:val="auto"/>
        </w:rPr>
        <w:t>” means in the case of an employee Participant, the period during which the Participant actively performs work for the Company or any Affiliate; but excluding any period that follows or ought to have followed the later of: (a) if required pursuant to the applicable employment standards legislation as amended (the “</w:t>
      </w:r>
      <w:r>
        <w:rPr>
          <w:rFonts w:ascii="Times New Roman" w:cs="Times New Roman" w:eastAsia="Times New Roman" w:hAnsi="Times New Roman"/>
          <w:sz w:val="18"/>
          <w:szCs w:val="18"/>
          <w:b w:val="1"/>
          <w:bCs w:val="1"/>
          <w:i w:val="1"/>
          <w:iCs w:val="1"/>
          <w:color w:val="auto"/>
        </w:rPr>
        <w:t>ESL</w:t>
      </w:r>
      <w:r>
        <w:rPr>
          <w:rFonts w:ascii="Times New Roman" w:cs="Times New Roman" w:eastAsia="Times New Roman" w:hAnsi="Times New Roman"/>
          <w:sz w:val="18"/>
          <w:szCs w:val="18"/>
          <w:color w:val="auto"/>
        </w:rPr>
        <w:t>”), the end of the minimum notice of termination period that is required to be provided pursuant to the ESL (if any), or (b) the Participant’s last day of actively performing work for the Company or any Affiliate, whether that period arises from a contractual or common law right. For certainty, "Active Employment" shall be deemed to include any period of vacation or other leave permitted by legislation;</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Active Engagement</w:t>
      </w:r>
      <w:r>
        <w:rPr>
          <w:rFonts w:ascii="Times New Roman" w:cs="Times New Roman" w:eastAsia="Times New Roman" w:hAnsi="Times New Roman"/>
          <w:sz w:val="18"/>
          <w:szCs w:val="18"/>
          <w:color w:val="auto"/>
        </w:rPr>
        <w:t>” means any period in which a non-employee Participant actively provides services to the Company or any Affiliate. For certainty, “Active Engagement” shall exclude any period that follows, or ought to have followed, the Participant’s last day of actively providing services to the Company or any Affiliate;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Participant’s last day of Active Employment or Active Engagement, as applicable.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vesting date occurs during a special closed window under the Company’s Insider Trading Policy, then the Restricted Stock Units shall vest on the first trading day of the next open trading window pursuant to the Company’s Insider Trading Policy, subject in all cases to any applicable outside dates that are required to ensure compliance with applicable tax laws and the terms of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 hereby acknowledges and agrees that (a) the Company has made available to the Participant a copy of the Plan and</w:t>
      </w:r>
    </w:p>
    <w:p>
      <w:pPr>
        <w:spacing w:after="0" w:line="27" w:lineRule="exact"/>
        <w:rPr>
          <w:sz w:val="20"/>
          <w:szCs w:val="20"/>
          <w:color w:val="auto"/>
        </w:rPr>
      </w:pPr>
    </w:p>
    <w:p>
      <w:pPr>
        <w:ind w:right="20" w:firstLine="8"/>
        <w:spacing w:after="0" w:line="260" w:lineRule="auto"/>
        <w:tabs>
          <w:tab w:leader="none" w:pos="2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had the opportunity to review the Plan and this Notice, including the attached Restricted Stock Unit Agreement, and to consult with the Participant’s individual tax advisor and/or legal counsel with respect to the same.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Participant agrees that they shall have no entitlement to damages or other compensation arising from or related to not receiving any or all of the awards or vesting that would have accrued to the Participant after the Termination Date. For clarity, except for the minimum period of notice of termination required to be provided pursuant to the ESL (if any and if applicable), no period of notice, if any, or payment instead of notice that is given or that ought to have been given under contract or at common law (whether or not imposed by a court), in respect of such termination of employment that follows or is in respect of a period after the Participant’s Termination Date will be considered as extending the Participant’s period of employment or engagement or be used for purposes of calculating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entitlement under the Plan, this Notice or the Restricted Stock Unit Agreement. The Participant waives the right to receive damages or payment in lieu of any forfeited vesting or grant that would have accrued during any contractual or common law reasonable notice period that exceeds the Participant’s minimum statutory notice of termination period beyond that required by the ESL (if any and if applicable).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understands and agrees that the Award is granted subject to and in accordance with the terms of the Plan. By executing this Notice, the Participant further agrees to be bound by the terms of the Plan and the terms of the Award as set forth in the Restricted Stock Unit Agreement attached hereto.</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Grant Date, this Notice, the attached Restricted Stock Unit Agreement, and the Plan set forth the entire understanding between the Participant and the Company regarding the Restricted Stock Units and supersede all prior oral and written agreements with respect to the Award.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Participant acknowledges that there may be adverse tax consequences upon settlement of the Award or disposition of the underlying Shares and that the Participant should consult a tax advisor prior to such settlement or disposition.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accepting this Award, the Participant consents to receive documents governing the Award by electronic delivery and to participate in the Plan through an online or electronic system established and maintained by the Company or another third party designated by the Company from time to time.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Notice may be executed in counterparts, each of which shall be deemed an original but all of which together will constitute one and the same instrument. Counterpart signature pages to this Notice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Terrestrial Energy Inc.</w:t>
            </w:r>
          </w:p>
        </w:tc>
        <w:tc>
          <w:tcPr>
            <w:tcW w:w="5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7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By:_______________________________</w:t>
            </w:r>
          </w:p>
        </w:tc>
        <w:tc>
          <w:tcPr>
            <w:tcW w:w="5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By:_______________________________</w:t>
            </w:r>
          </w:p>
        </w:tc>
      </w:tr>
      <w:tr>
        <w:trPr>
          <w:trHeight w:val="24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Name:</w:t>
            </w:r>
          </w:p>
        </w:tc>
        <w:tc>
          <w:tcPr>
            <w:tcW w:w="5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 [__]</w:t>
            </w:r>
          </w:p>
        </w:tc>
      </w:tr>
      <w:tr>
        <w:trPr>
          <w:trHeight w:val="24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Date: [__]</w:t>
            </w:r>
          </w:p>
        </w:tc>
      </w:tr>
      <w:tr>
        <w:trPr>
          <w:trHeight w:val="243"/>
        </w:trPr>
        <w:tc>
          <w:tcPr>
            <w:tcW w:w="4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[__]</w:t>
            </w:r>
          </w:p>
        </w:tc>
        <w:tc>
          <w:tcPr>
            <w:tcW w:w="5720" w:type="dxa"/>
            <w:vAlign w:val="bottom"/>
          </w:tcPr>
          <w:p>
            <w:pPr>
              <w:spacing w:after="0"/>
              <w:rPr>
                <w:sz w:val="21"/>
                <w:szCs w:val="21"/>
                <w:color w:val="auto"/>
              </w:rPr>
            </w:pPr>
          </w:p>
        </w:tc>
      </w:tr>
      <w:tr>
        <w:trPr>
          <w:trHeight w:val="1141"/>
        </w:trPr>
        <w:tc>
          <w:tcPr>
            <w:tcW w:w="42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errestrial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2"/>
          <w:szCs w:val="12"/>
          <w:u w:val="single" w:color="auto"/>
          <w:color w:val="auto"/>
        </w:rPr>
        <w:t>estricted</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tock</w:t>
      </w:r>
      <w:r>
        <w:rPr>
          <w:rFonts w:ascii="Times New Roman" w:cs="Times New Roman" w:eastAsia="Times New Roman" w:hAnsi="Times New Roman"/>
          <w:sz w:val="18"/>
          <w:szCs w:val="18"/>
          <w:u w:val="single" w:color="auto"/>
          <w:color w:val="auto"/>
        </w:rPr>
        <w:t xml:space="preserve"> U</w:t>
      </w:r>
      <w:r>
        <w:rPr>
          <w:rFonts w:ascii="Times New Roman" w:cs="Times New Roman" w:eastAsia="Times New Roman" w:hAnsi="Times New Roman"/>
          <w:sz w:val="12"/>
          <w:szCs w:val="12"/>
          <w:u w:val="single" w:color="auto"/>
          <w:color w:val="auto"/>
        </w:rPr>
        <w:t>nit</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greement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Terrestrial Energy Inc., a Delaware corporation formerly known as “HCM II Acquisition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the Participant set forth in the Notice of Restricted Stock Unit Award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 Restricted Stock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that is subject to the Company’s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Notice, and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for the number of Restricted Stock Units indicated in the Notice. Capitalized terms not explicitly defined in this Agreement or in the Notice but defined in the Plan will have the same definitions as in the Plan. In the event of any conflict between the terms in this Agreement and the Plan, the terms of the Plan will control. This Agreement will be deemed to be signed by the Participant on the signing by the Participant of the Notice to which it is attached.</w:t>
      </w:r>
    </w:p>
    <w:p>
      <w:pPr>
        <w:spacing w:after="0" w:line="214" w:lineRule="exact"/>
        <w:rPr>
          <w:sz w:val="20"/>
          <w:szCs w:val="20"/>
          <w:color w:val="auto"/>
        </w:rPr>
      </w:pPr>
    </w:p>
    <w:p>
      <w:pPr>
        <w:jc w:val="both"/>
        <w:ind w:firstLine="397"/>
        <w:spacing w:after="0" w:line="239" w:lineRule="auto"/>
        <w:tabs>
          <w:tab w:leader="none" w:pos="90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issues to the Participant on the Grant Date an Award for the number of Restricted Stock Units set forth in the Notice. Each Restricted Stock Unit represents the right to receive one Share on settlement, subject to the terms and conditions set forth in this Agreement and the Plan.</w:t>
      </w:r>
    </w:p>
    <w:p>
      <w:pPr>
        <w:spacing w:after="0" w:line="226" w:lineRule="exact"/>
        <w:rPr>
          <w:rFonts w:ascii="Times New Roman" w:cs="Times New Roman" w:eastAsia="Times New Roman" w:hAnsi="Times New Roman"/>
          <w:sz w:val="22"/>
          <w:szCs w:val="22"/>
          <w:color w:val="auto"/>
        </w:rPr>
      </w:pPr>
    </w:p>
    <w:p>
      <w:pPr>
        <w:ind w:firstLine="397"/>
        <w:spacing w:after="0" w:line="234" w:lineRule="auto"/>
        <w:tabs>
          <w:tab w:leader="none" w:pos="90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grant of the Restricted Stock Units is made in consideration of the services to be rendered by the Participant to the Company.</w:t>
      </w:r>
    </w:p>
    <w:p>
      <w:pPr>
        <w:spacing w:after="0" w:line="226" w:lineRule="exact"/>
        <w:rPr>
          <w:rFonts w:ascii="Times New Roman" w:cs="Times New Roman" w:eastAsia="Times New Roman" w:hAnsi="Times New Roman"/>
          <w:sz w:val="22"/>
          <w:szCs w:val="22"/>
          <w:color w:val="auto"/>
        </w:rPr>
      </w:pPr>
    </w:p>
    <w:p>
      <w:pPr>
        <w:ind w:firstLine="397"/>
        <w:spacing w:after="0" w:line="234" w:lineRule="auto"/>
        <w:tabs>
          <w:tab w:leader="none" w:pos="90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Restricted Stock Units will vest as set forth in the Notice. In the event of a Change in Control, the Restricted Stock Units will be subject to the provisions of the Plan relating to a Change in Control.</w:t>
      </w:r>
    </w:p>
    <w:p>
      <w:pPr>
        <w:spacing w:after="0" w:line="226" w:lineRule="exact"/>
        <w:rPr>
          <w:rFonts w:ascii="Times New Roman" w:cs="Times New Roman" w:eastAsia="Times New Roman" w:hAnsi="Times New Roman"/>
          <w:sz w:val="22"/>
          <w:szCs w:val="22"/>
          <w:color w:val="auto"/>
        </w:rPr>
      </w:pPr>
    </w:p>
    <w:p>
      <w:pPr>
        <w:jc w:val="both"/>
        <w:ind w:firstLine="396"/>
        <w:spacing w:after="0" w:line="245" w:lineRule="auto"/>
        <w:tabs>
          <w:tab w:leader="none" w:pos="90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Transfer</w:t>
      </w:r>
      <w:r>
        <w:rPr>
          <w:rFonts w:ascii="Times New Roman" w:cs="Times New Roman" w:eastAsia="Times New Roman" w:hAnsi="Times New Roman"/>
          <w:sz w:val="18"/>
          <w:szCs w:val="18"/>
          <w:color w:val="auto"/>
        </w:rPr>
        <w:t>. No portion of the Restricted Stock Units may be sold, assigned, transferred, encumbered, hypothecated or pledged by the Participant other than to the Company as a result of forfeiture of the Restricted Stock Units as provided herein, unless and until settlement is made in respect of vested Restricted Stock Units in accordance with the provisions hereof. Any attempt to assign, alienate, pledge, attach, sell or otherwise transfer or encumber the Restricted Stock Units shall be wholly ineffective and, if any such attempt is made, the Restricted Stock Units will be forfeited by the Participant and all of the Participant’s rights to such Restricted Stock Units shall immediately terminate without any payment or consideration by the Company.</w:t>
      </w:r>
    </w:p>
    <w:p>
      <w:pPr>
        <w:spacing w:after="0" w:line="205" w:lineRule="exact"/>
        <w:rPr>
          <w:rFonts w:ascii="Times New Roman" w:cs="Times New Roman" w:eastAsia="Times New Roman" w:hAnsi="Times New Roman"/>
          <w:sz w:val="22"/>
          <w:szCs w:val="22"/>
          <w:color w:val="auto"/>
        </w:rPr>
      </w:pPr>
    </w:p>
    <w:p>
      <w:pPr>
        <w:ind w:left="920" w:hanging="523"/>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Rights as Shareholder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400" w:firstLine="518"/>
        <w:spacing w:after="0" w:line="282" w:lineRule="auto"/>
        <w:rPr>
          <w:sz w:val="20"/>
          <w:szCs w:val="20"/>
          <w:color w:val="auto"/>
        </w:rPr>
      </w:pPr>
      <w:r>
        <w:rPr>
          <w:rFonts w:ascii="Times New Roman" w:cs="Times New Roman" w:eastAsia="Times New Roman" w:hAnsi="Times New Roman"/>
          <w:sz w:val="18"/>
          <w:szCs w:val="18"/>
          <w:color w:val="auto"/>
        </w:rPr>
        <w:t>5.1 The Participant shall not have any rights of a shareholder with respect to the Restricted Stock Units unless and until the Restricted Stock Units vest and are settled by the issuance of Shares.</w:t>
      </w:r>
    </w:p>
    <w:p>
      <w:pPr>
        <w:spacing w:after="0" w:line="162" w:lineRule="exact"/>
        <w:rPr>
          <w:sz w:val="20"/>
          <w:szCs w:val="20"/>
          <w:color w:val="auto"/>
        </w:rPr>
      </w:pPr>
    </w:p>
    <w:p>
      <w:pPr>
        <w:jc w:val="both"/>
        <w:ind w:left="400" w:firstLine="518"/>
        <w:spacing w:after="0" w:line="266" w:lineRule="auto"/>
        <w:rPr>
          <w:sz w:val="20"/>
          <w:szCs w:val="20"/>
          <w:color w:val="auto"/>
        </w:rPr>
      </w:pPr>
      <w:r>
        <w:rPr>
          <w:rFonts w:ascii="Times New Roman" w:cs="Times New Roman" w:eastAsia="Times New Roman" w:hAnsi="Times New Roman"/>
          <w:sz w:val="18"/>
          <w:szCs w:val="18"/>
          <w:color w:val="auto"/>
        </w:rPr>
        <w:t>5.2 Upon and following the settlement of the Restricted Stock Units in Shares, the Participant shall be the record owner of the Shares unless and until such Shares are sold or otherwise disposed of and shall be entitled to all rights of a shareholder of the Company (including voting rights).</w:t>
      </w:r>
    </w:p>
    <w:p>
      <w:pPr>
        <w:spacing w:after="0" w:line="184" w:lineRule="exact"/>
        <w:rPr>
          <w:sz w:val="20"/>
          <w:szCs w:val="20"/>
          <w:color w:val="auto"/>
        </w:rPr>
      </w:pPr>
    </w:p>
    <w:p>
      <w:pPr>
        <w:ind w:left="920" w:hanging="523"/>
        <w:spacing w:after="0"/>
        <w:tabs>
          <w:tab w:leader="none" w:pos="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400" w:firstLine="518"/>
        <w:spacing w:after="0" w:line="261" w:lineRule="auto"/>
        <w:rPr>
          <w:sz w:val="20"/>
          <w:szCs w:val="20"/>
          <w:color w:val="auto"/>
        </w:rPr>
      </w:pPr>
      <w:r>
        <w:rPr>
          <w:rFonts w:ascii="Times New Roman" w:cs="Times New Roman" w:eastAsia="Times New Roman" w:hAnsi="Times New Roman"/>
          <w:sz w:val="18"/>
          <w:szCs w:val="18"/>
          <w:color w:val="auto"/>
        </w:rPr>
        <w:t>6.1 Subject to Section 9 hereof, promptly following the vesting date, and in any event no later than March 15 of the calendar year following the calendar year in which such vesting occurs, the Company shall (a) issue and deliver to the Participant the number of Shares equal to the number of vested Restricted Stock Units and (b) enter the Participant’s name on the books of the Company as the holder of record with respect to the Shares delivered to the Participant.</w:t>
      </w:r>
    </w:p>
    <w:p>
      <w:pPr>
        <w:spacing w:after="0" w:line="180" w:lineRule="exact"/>
        <w:rPr>
          <w:sz w:val="20"/>
          <w:szCs w:val="20"/>
          <w:color w:val="auto"/>
        </w:rPr>
      </w:pPr>
    </w:p>
    <w:p>
      <w:pPr>
        <w:jc w:val="both"/>
        <w:ind w:left="400" w:right="20" w:firstLine="518"/>
        <w:spacing w:after="0" w:line="282" w:lineRule="auto"/>
        <w:rPr>
          <w:sz w:val="20"/>
          <w:szCs w:val="20"/>
          <w:color w:val="auto"/>
        </w:rPr>
      </w:pPr>
      <w:r>
        <w:rPr>
          <w:rFonts w:ascii="Times New Roman" w:cs="Times New Roman" w:eastAsia="Times New Roman" w:hAnsi="Times New Roman"/>
          <w:sz w:val="18"/>
          <w:szCs w:val="18"/>
          <w:color w:val="auto"/>
        </w:rPr>
        <w:t>6.2 To the extent that the Participant does not vest in any Restricted Stock Units, all interests in such Restricted Stock Units shall be forfeited automatically without consideration.</w:t>
      </w:r>
    </w:p>
    <w:p>
      <w:pPr>
        <w:spacing w:after="0" w:line="189" w:lineRule="exact"/>
        <w:rPr>
          <w:sz w:val="20"/>
          <w:szCs w:val="20"/>
          <w:color w:val="auto"/>
        </w:rPr>
      </w:pPr>
    </w:p>
    <w:p>
      <w:pPr>
        <w:jc w:val="both"/>
        <w:ind w:firstLine="397"/>
        <w:spacing w:after="0" w:line="239" w:lineRule="auto"/>
        <w:tabs>
          <w:tab w:leader="none" w:pos="90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Right to Continued Service on the Board</w:t>
      </w:r>
      <w:r>
        <w:rPr>
          <w:rFonts w:ascii="Times New Roman" w:cs="Times New Roman" w:eastAsia="Times New Roman" w:hAnsi="Times New Roman"/>
          <w:sz w:val="18"/>
          <w:szCs w:val="18"/>
          <w:color w:val="auto"/>
        </w:rPr>
        <w:t>. Neither the Plan nor this Agreement shall confer upon the Participant any right to be retained as a director of the Company or in any other capacity. Further, nothing in the Plan or this Agreement shall be construed to limit the discretion of the Company to terminate the Participant’s Service at any time, with or without Cause.</w:t>
      </w:r>
    </w:p>
    <w:p>
      <w:pPr>
        <w:spacing w:after="0" w:line="226" w:lineRule="exact"/>
        <w:rPr>
          <w:rFonts w:ascii="Times New Roman" w:cs="Times New Roman" w:eastAsia="Times New Roman" w:hAnsi="Times New Roman"/>
          <w:sz w:val="22"/>
          <w:szCs w:val="22"/>
          <w:color w:val="auto"/>
        </w:rPr>
      </w:pPr>
    </w:p>
    <w:p>
      <w:pPr>
        <w:ind w:right="20" w:firstLine="397"/>
        <w:spacing w:after="0" w:line="234" w:lineRule="auto"/>
        <w:tabs>
          <w:tab w:leader="none" w:pos="90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change is made to the outstanding Stock or the capital structure of the Company, if required, the Restricted Stock Units shall be adjusted or terminated in any manner as contemplated by Section 4.3 of the Plan.</w:t>
      </w:r>
    </w:p>
    <w:p>
      <w:pPr>
        <w:spacing w:after="0" w:line="207" w:lineRule="exact"/>
        <w:rPr>
          <w:rFonts w:ascii="Times New Roman" w:cs="Times New Roman" w:eastAsia="Times New Roman" w:hAnsi="Times New Roman"/>
          <w:sz w:val="22"/>
          <w:szCs w:val="22"/>
          <w:color w:val="auto"/>
        </w:rPr>
      </w:pPr>
    </w:p>
    <w:p>
      <w:pPr>
        <w:ind w:left="920" w:hanging="523"/>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Tax Liability and Withholding</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400" w:right="220" w:firstLine="518"/>
        <w:spacing w:after="0" w:line="289" w:lineRule="auto"/>
        <w:rPr>
          <w:sz w:val="20"/>
          <w:szCs w:val="20"/>
          <w:color w:val="auto"/>
        </w:rPr>
      </w:pPr>
      <w:r>
        <w:rPr>
          <w:rFonts w:ascii="Times New Roman" w:cs="Times New Roman" w:eastAsia="Times New Roman" w:hAnsi="Times New Roman"/>
          <w:sz w:val="17"/>
          <w:szCs w:val="17"/>
          <w:color w:val="auto"/>
        </w:rPr>
        <w:t>9.1 The Company’s obligations with respect to the settlement of Restricted Stock Units shall be subject to the Participant’s satisfaction of all applicable federal, state and local income and other tax withholding requirements (as well as any applicable Canadian federal, provincial, territorial withholding requirements on account of taxes or social security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ind w:left="4" w:right="40"/>
        <w:spacing w:after="0" w:line="252" w:lineRule="auto"/>
        <w:rPr>
          <w:sz w:val="20"/>
          <w:szCs w:val="20"/>
          <w:color w:val="auto"/>
        </w:rPr>
      </w:pPr>
      <w:r>
        <w:rPr>
          <w:rFonts w:ascii="Times New Roman" w:cs="Times New Roman" w:eastAsia="Times New Roman" w:hAnsi="Times New Roman"/>
          <w:sz w:val="18"/>
          <w:szCs w:val="18"/>
          <w:color w:val="auto"/>
        </w:rPr>
        <w:t>The Participant shall make appropriate arrangements with the Company to provide for the amount of withholding required by Sections 3102 and 3402 of the Code and applicable state income tax laws (as well as any applicable Canadian federal, provincial, territorial withholding requirements on account of taxes or social security contributions). The Committee may, in its sole discretion, permit the Participant to pay all such amounts of tax withholding, or any part thereof, by electing (i) to tender a cash payment, (ii) to have the Company withhold from Shares otherwise issuable to the Participant a number of Shares having a value equal to the amount required to be withheld or such lesser amount as may be elected by the Participant; provided however, that the number of Shares so withheld shall not exceed the maximum amount required to be withheld (or such lesser amount as may be necessary to avoid classification as a liability under applicable accounting standards), or (iii) to transfer to the Company a number of Shares that were acquired by the Participant more than six months prior to the transfer to the Company and that have a value equal to the amount required to be withheld or such lesser amount as may be elected by the Participant. All elections shall be subject to the approval or disapproval of the Committee. The value of the Shares to be withheld shall be based on the Fair Market Value of the Shares on the date that the amount of tax to be withheld is to be determined (the “</w:t>
      </w:r>
      <w:r>
        <w:rPr>
          <w:rFonts w:ascii="Times New Roman" w:cs="Times New Roman" w:eastAsia="Times New Roman" w:hAnsi="Times New Roman"/>
          <w:sz w:val="18"/>
          <w:szCs w:val="18"/>
          <w:b w:val="1"/>
          <w:bCs w:val="1"/>
          <w:color w:val="auto"/>
        </w:rPr>
        <w:t>Tax Date</w:t>
      </w:r>
      <w:r>
        <w:rPr>
          <w:rFonts w:ascii="Times New Roman" w:cs="Times New Roman" w:eastAsia="Times New Roman" w:hAnsi="Times New Roman"/>
          <w:sz w:val="18"/>
          <w:szCs w:val="18"/>
          <w:color w:val="auto"/>
        </w:rPr>
        <w:t>”). Any such election by the Participant to have Shares withheld for this purpose will be subject to the following restrictions: (x) all elections must be made prior to the Tax Date; (y) all elections shall be irrevocable; (z) if the Participant is an officer or director of the Company within the meaning of Section 16 of the Securities Exchange Act of 1934, as it may be amended from time to time,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the Participant must satisfy the requirements of Section 16 and any applicable rules thereunder with respect to the use of Shares to satisfy such tax withholding obligation.</w:t>
      </w:r>
    </w:p>
    <w:p>
      <w:pPr>
        <w:spacing w:after="0" w:line="193" w:lineRule="exact"/>
        <w:rPr>
          <w:sz w:val="20"/>
          <w:szCs w:val="20"/>
          <w:color w:val="auto"/>
        </w:rPr>
      </w:pPr>
    </w:p>
    <w:p>
      <w:pPr>
        <w:ind w:left="4" w:right="120" w:firstLine="518"/>
        <w:spacing w:after="0" w:line="256" w:lineRule="auto"/>
        <w:rPr>
          <w:sz w:val="20"/>
          <w:szCs w:val="20"/>
          <w:color w:val="auto"/>
        </w:rPr>
      </w:pPr>
      <w:r>
        <w:rPr>
          <w:rFonts w:ascii="Times New Roman" w:cs="Times New Roman" w:eastAsia="Times New Roman" w:hAnsi="Times New Roman"/>
          <w:sz w:val="18"/>
          <w:szCs w:val="18"/>
          <w:color w:val="auto"/>
        </w:rPr>
        <w:t>9.2 Notwithstanding any action the Company takes with respect to any or all income tax, social insurance, payroll tax, or other tax-related withholding (other than the employer portion of any such amounts)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the ultimate liability for all Tax-Related Items is and remains the Participant’s responsibility and the Company (i) makes no representation or undertakings regarding the treatment of any Tax-Related Items in connection with the grant, vesting or settlement of the Restricted Stock Units or the subsequent sale of any Shares; and (ii) does not commit to structure the Restricted Stock Units to reduce or eliminate the Participant’s liability for Tax-Related Items.</w:t>
      </w:r>
    </w:p>
    <w:p>
      <w:pPr>
        <w:spacing w:after="0" w:line="214" w:lineRule="exact"/>
        <w:rPr>
          <w:sz w:val="20"/>
          <w:szCs w:val="20"/>
          <w:color w:val="auto"/>
        </w:rPr>
      </w:pPr>
    </w:p>
    <w:p>
      <w:pPr>
        <w:jc w:val="both"/>
        <w:ind w:left="-396" w:firstLine="397"/>
        <w:spacing w:after="0" w:line="243" w:lineRule="auto"/>
        <w:tabs>
          <w:tab w:leader="none" w:pos="5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The issuance, transfer, vesting and ownership of Shares shall be subject to compliance by the Company and the Participant with all applicable requirements of federal and state securities laws and with all applicable requirements of any stock exchange on which the Stock may be listed at the time of such issuance or transfer. The Participant agrees to cooperate with the Company to ensure compliance with such laws and requirements.</w:t>
      </w:r>
    </w:p>
    <w:p>
      <w:pPr>
        <w:spacing w:after="0" w:line="222" w:lineRule="exact"/>
        <w:rPr>
          <w:rFonts w:ascii="Times New Roman" w:cs="Times New Roman" w:eastAsia="Times New Roman" w:hAnsi="Times New Roman"/>
          <w:sz w:val="22"/>
          <w:szCs w:val="22"/>
          <w:color w:val="auto"/>
        </w:rPr>
      </w:pPr>
    </w:p>
    <w:p>
      <w:pPr>
        <w:jc w:val="both"/>
        <w:ind w:left="-396" w:firstLine="396"/>
        <w:spacing w:after="0" w:line="245" w:lineRule="auto"/>
        <w:tabs>
          <w:tab w:leader="none" w:pos="5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Every notice or other communication relating to this Agreement shall be in writing, and shall be mailed via certified mail or overnight courier, postage prepaid, to the party for whom it is intended at such address as may from time to time be designated by it in a notice mailed or delivered to the other party as herein provided; provided that, unless and until some other address be so designated, all notices or communications by the Participant to the Company shall be mailed or delivered to the Company at its principal executive office, and all notices or communications by the Company to the Participant may be given to the Participant personally or may be mailed to the Participant at the address as recorded in the records of the Company.</w:t>
      </w:r>
    </w:p>
    <w:p>
      <w:pPr>
        <w:spacing w:after="0" w:line="224" w:lineRule="exact"/>
        <w:rPr>
          <w:rFonts w:ascii="Times New Roman" w:cs="Times New Roman" w:eastAsia="Times New Roman" w:hAnsi="Times New Roman"/>
          <w:sz w:val="22"/>
          <w:szCs w:val="22"/>
          <w:color w:val="auto"/>
        </w:rPr>
      </w:pPr>
    </w:p>
    <w:p>
      <w:pPr>
        <w:jc w:val="both"/>
        <w:ind w:left="-396" w:firstLine="396"/>
        <w:spacing w:after="0" w:line="243" w:lineRule="auto"/>
        <w:tabs>
          <w:tab w:leader="none" w:pos="5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substantive laws of the State of Delaware without regard to its conflict of laws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22" w:lineRule="exact"/>
        <w:rPr>
          <w:rFonts w:ascii="Times New Roman" w:cs="Times New Roman" w:eastAsia="Times New Roman" w:hAnsi="Times New Roman"/>
          <w:sz w:val="22"/>
          <w:szCs w:val="22"/>
          <w:color w:val="auto"/>
        </w:rPr>
      </w:pPr>
    </w:p>
    <w:p>
      <w:pPr>
        <w:jc w:val="both"/>
        <w:ind w:left="-396" w:firstLine="397"/>
        <w:spacing w:after="0" w:line="246" w:lineRule="auto"/>
        <w:tabs>
          <w:tab w:leader="none" w:pos="5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In accordance with Section 13.6 of the Plan, by accepting the Restricted Stock Units, the Participant acknowledges that the Participant may be bound by, and subject to all of the terms and conditions of, the Clawback Policy, and the Participant agrees to abide by any applicable terms of the Clawback Policy. To the extent that the Board determines that all or any portion of the Restricted Stock Units or the Shares issued on settlement thereof (or the value of those Shares) must be cancelled, forfeited, repaid, or otherwise recovered by the Company, the Participant shall promptly take whatever action is necessary to effectuate such cancellation, forfeiture, repayment, or recovery. In the event of any conflict between the terms of the Clawback Policy and the terms of the Plan or this Agreement, the terms of the Clawback Policy shall govern.</w:t>
      </w:r>
    </w:p>
    <w:p>
      <w:pPr>
        <w:spacing w:after="0" w:line="222" w:lineRule="exact"/>
        <w:rPr>
          <w:rFonts w:ascii="Times New Roman" w:cs="Times New Roman" w:eastAsia="Times New Roman" w:hAnsi="Times New Roman"/>
          <w:sz w:val="22"/>
          <w:szCs w:val="22"/>
          <w:color w:val="auto"/>
        </w:rPr>
      </w:pPr>
    </w:p>
    <w:p>
      <w:pPr>
        <w:jc w:val="both"/>
        <w:ind w:left="-396" w:firstLine="397"/>
        <w:spacing w:after="0" w:line="243" w:lineRule="auto"/>
        <w:tabs>
          <w:tab w:leader="none" w:pos="5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Restricted Stock Units Subject to Plan</w:t>
      </w:r>
      <w:r>
        <w:rPr>
          <w:rFonts w:ascii="Times New Roman" w:cs="Times New Roman" w:eastAsia="Times New Roman" w:hAnsi="Times New Roman"/>
          <w:sz w:val="18"/>
          <w:szCs w:val="18"/>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22" w:lineRule="exact"/>
        <w:rPr>
          <w:rFonts w:ascii="Times New Roman" w:cs="Times New Roman" w:eastAsia="Times New Roman" w:hAnsi="Times New Roman"/>
          <w:sz w:val="22"/>
          <w:szCs w:val="22"/>
          <w:color w:val="auto"/>
        </w:rPr>
      </w:pPr>
    </w:p>
    <w:p>
      <w:pPr>
        <w:ind w:left="-396" w:firstLine="397"/>
        <w:spacing w:after="0" w:line="243" w:lineRule="auto"/>
        <w:tabs>
          <w:tab w:leader="none" w:pos="5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Guarantee.</w:t>
      </w:r>
      <w:r>
        <w:rPr>
          <w:rFonts w:ascii="Times New Roman" w:cs="Times New Roman" w:eastAsia="Times New Roman" w:hAnsi="Times New Roman"/>
          <w:sz w:val="18"/>
          <w:szCs w:val="18"/>
          <w:color w:val="auto"/>
        </w:rPr>
        <w:t xml:space="preserve"> Neither the Plan nor this Agreement shall confer upon Participant any right to continued employment or engagement or a promise of future employment or engagement with Company or any Affiliate. Further, nothing in the Plan or this Agreement shall be construed to limit the discretion of the Company or an Affiliate to terminate Participant’s employment or engagement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340995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24"/>
          </w:cols>
          <w:pgMar w:left="1376" w:top="229" w:right="999" w:bottom="1440" w:gutter="0" w:footer="0" w:header="0"/>
        </w:sectPr>
      </w:pPr>
    </w:p>
    <w:bookmarkStart w:id="45" w:name="page46"/>
    <w:bookmarkEnd w:id="45"/>
    <w:p>
      <w:pPr>
        <w:ind w:left="-396" w:right="120" w:firstLine="397"/>
        <w:spacing w:after="0" w:line="239"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Impact on Other Benefits.</w:t>
      </w:r>
      <w:r>
        <w:rPr>
          <w:rFonts w:ascii="Times New Roman" w:cs="Times New Roman" w:eastAsia="Times New Roman" w:hAnsi="Times New Roman"/>
          <w:sz w:val="18"/>
          <w:szCs w:val="18"/>
          <w:color w:val="auto"/>
        </w:rPr>
        <w:t xml:space="preserve"> Unless otherwise required by the ESL, the value of the Restricted Stock Units or Shares shall not be part of the Participant’s normal or expected compensation for purposes of calculating any severance, retirement, welfare, insurance or similar employee benefit unless such benefit explicitly provides for inclusion of the applicable value.</w:t>
      </w:r>
    </w:p>
    <w:p>
      <w:pPr>
        <w:spacing w:after="0" w:line="226" w:lineRule="exact"/>
        <w:rPr>
          <w:rFonts w:ascii="Times New Roman" w:cs="Times New Roman" w:eastAsia="Times New Roman" w:hAnsi="Times New Roman"/>
          <w:sz w:val="22"/>
          <w:szCs w:val="22"/>
          <w:color w:val="auto"/>
        </w:rPr>
      </w:pPr>
    </w:p>
    <w:p>
      <w:pPr>
        <w:jc w:val="both"/>
        <w:ind w:left="-396" w:firstLine="397"/>
        <w:spacing w:after="0" w:line="243"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This Agreement shall be binding upon and inure to the benefit of the successors and assigns of the Company. Subject to the restrictions on transfer set forth herein, this Agreement shall be binding upon the Participant and the Participant’s heirs, executors, administrators, legal representatives, successors and assigns.</w:t>
      </w:r>
    </w:p>
    <w:p>
      <w:pPr>
        <w:spacing w:after="0" w:line="222" w:lineRule="exact"/>
        <w:rPr>
          <w:rFonts w:ascii="Times New Roman" w:cs="Times New Roman" w:eastAsia="Times New Roman" w:hAnsi="Times New Roman"/>
          <w:sz w:val="22"/>
          <w:szCs w:val="22"/>
          <w:color w:val="auto"/>
        </w:rPr>
      </w:pPr>
    </w:p>
    <w:p>
      <w:pPr>
        <w:jc w:val="both"/>
        <w:ind w:left="-396" w:right="20" w:firstLine="397"/>
        <w:spacing w:after="0" w:line="239"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226" w:lineRule="exact"/>
        <w:rPr>
          <w:rFonts w:ascii="Times New Roman" w:cs="Times New Roman" w:eastAsia="Times New Roman" w:hAnsi="Times New Roman"/>
          <w:sz w:val="22"/>
          <w:szCs w:val="22"/>
          <w:color w:val="auto"/>
        </w:rPr>
      </w:pPr>
    </w:p>
    <w:p>
      <w:pPr>
        <w:jc w:val="both"/>
        <w:ind w:left="-396" w:firstLine="397"/>
        <w:spacing w:after="0" w:line="244"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Discretionary Nature of Plan</w:t>
      </w:r>
      <w:r>
        <w:rPr>
          <w:rFonts w:ascii="Times New Roman" w:cs="Times New Roman" w:eastAsia="Times New Roman" w:hAnsi="Times New Roman"/>
          <w:sz w:val="18"/>
          <w:szCs w:val="18"/>
          <w:color w:val="auto"/>
        </w:rPr>
        <w:t>. The Plan is discretionary and may be amended, cancelled or terminated by the Company at any time, in its discretion. The grant of the Restricted Stock Units hereunder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membership on the Board.</w:t>
      </w:r>
    </w:p>
    <w:p>
      <w:pPr>
        <w:spacing w:after="0" w:line="224" w:lineRule="exact"/>
        <w:rPr>
          <w:rFonts w:ascii="Times New Roman" w:cs="Times New Roman" w:eastAsia="Times New Roman" w:hAnsi="Times New Roman"/>
          <w:sz w:val="22"/>
          <w:szCs w:val="22"/>
          <w:color w:val="auto"/>
        </w:rPr>
      </w:pPr>
    </w:p>
    <w:p>
      <w:pPr>
        <w:ind w:left="-396" w:right="20" w:firstLine="397"/>
        <w:spacing w:after="0" w:line="234"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has the right to amend, alter, suspend, discontinue or cancel this Agreement; provided, that, no such amendment shall materially and adversely affect the Participant’s rights under this Agreement without the Participant’s consent.</w:t>
      </w:r>
    </w:p>
    <w:p>
      <w:pPr>
        <w:spacing w:after="0" w:line="226" w:lineRule="exact"/>
        <w:rPr>
          <w:rFonts w:ascii="Times New Roman" w:cs="Times New Roman" w:eastAsia="Times New Roman" w:hAnsi="Times New Roman"/>
          <w:sz w:val="22"/>
          <w:szCs w:val="22"/>
          <w:color w:val="auto"/>
        </w:rPr>
      </w:pPr>
    </w:p>
    <w:p>
      <w:pPr>
        <w:jc w:val="both"/>
        <w:ind w:left="-396" w:firstLine="397"/>
        <w:spacing w:after="0" w:line="247"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is intended to comply with, or be exempt from, the provisions of Section 409A of the Code and shall be construed and interpreted in accordance with such intent. The Company reserves the right to amend this Agreement to the extent it reasonably determines is necessary in order to avoid any adverse tax consequences under Section 409A of the Code. Notwithstanding anything to the contrary, none of the Company, its officers, directors, employees, agents or representatives guarantees that this Agreement complies with, or is exempt from, the provisions of Section 409A of the Code and none of the foregoing shall have any liability for the failure of this Agreement to comply with, or be exempt from, the provisions of Section 409A of the Code. To the extent that any payment or benefit under this Agreement is nonqualified deferred compensation subject to Section 409A of the Code, as determined by the Committee, and is payable to the Participant by reason of termination of service, such payment or benefit shall be made or provided to the Participant only upon a “separation from service,” as defined under Section 409A of the Code. Each payment under this Agreement shall be treated as a separate payment under Section 409A of the Code.</w:t>
      </w:r>
    </w:p>
    <w:p>
      <w:pPr>
        <w:spacing w:after="0" w:line="225" w:lineRule="exact"/>
        <w:rPr>
          <w:rFonts w:ascii="Times New Roman" w:cs="Times New Roman" w:eastAsia="Times New Roman" w:hAnsi="Times New Roman"/>
          <w:sz w:val="22"/>
          <w:szCs w:val="22"/>
          <w:color w:val="auto"/>
        </w:rPr>
      </w:pPr>
    </w:p>
    <w:p>
      <w:pPr>
        <w:ind w:left="-396" w:right="260" w:firstLine="397"/>
        <w:spacing w:after="0" w:line="239"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Counterparts, Copies</w:t>
      </w:r>
      <w:r>
        <w:rPr>
          <w:rFonts w:ascii="Times New Roman" w:cs="Times New Roman" w:eastAsia="Times New Roman" w:hAnsi="Times New Roman"/>
          <w:sz w:val="18"/>
          <w:szCs w:val="18"/>
          <w:color w:val="auto"/>
        </w:rPr>
        <w:t>. This Agreement may be signed in counterparts, each of which when executed shall be deemed an original but all of which taken together shall constitute one and the same agreement. Fax or PDF copies of the parties’ signatures shall have the same force and effect as original signatures.</w:t>
      </w:r>
    </w:p>
    <w:p>
      <w:pPr>
        <w:spacing w:after="0" w:line="226" w:lineRule="exact"/>
        <w:rPr>
          <w:rFonts w:ascii="Times New Roman" w:cs="Times New Roman" w:eastAsia="Times New Roman" w:hAnsi="Times New Roman"/>
          <w:sz w:val="22"/>
          <w:szCs w:val="22"/>
          <w:color w:val="auto"/>
        </w:rPr>
      </w:pPr>
    </w:p>
    <w:p>
      <w:pPr>
        <w:jc w:val="both"/>
        <w:ind w:left="-396" w:firstLine="397"/>
        <w:spacing w:after="0" w:line="247"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Participant hereby acknowledges receipt of a copy of the Plan and this Agreement (such delivery may be electronic). The Participant has read and understands the terms and provisions thereof and accepts the Restricted Stock Units subject to all the terms and conditions of the Plan and this Agreement. The Company is not providing any tax, legal or financial advice, nor is the Company making any recommendations regarding the Participant’s participation in the Plan, or the Participant’s acquisition or sale of the Shares delivered on settlement of the Restricted Stock Units. The Participant acknowledges that there may be adverse tax consequences upon the vesting or settlement of the Restricted Stock Units or disposition of the underlying shares and that the Participant has been advised to consult a tax advisor prior to such vesting, settlement or disposition. With respect to such matters, the Participant relies solely on such advisors and not on any statements or representations of the Company or any of its agents, written or oral. The Participant understands that the Participant (and not the Company) shall be responsible for the Participant’s own tax liability that may arise as a result of this investment or the transactions contemplated by this Agreement.</w:t>
      </w:r>
    </w:p>
    <w:p>
      <w:pPr>
        <w:spacing w:after="0" w:line="225" w:lineRule="exact"/>
        <w:rPr>
          <w:rFonts w:ascii="Times New Roman" w:cs="Times New Roman" w:eastAsia="Times New Roman" w:hAnsi="Times New Roman"/>
          <w:sz w:val="22"/>
          <w:szCs w:val="22"/>
          <w:color w:val="auto"/>
        </w:rPr>
      </w:pPr>
    </w:p>
    <w:p>
      <w:pPr>
        <w:jc w:val="both"/>
        <w:ind w:left="-396" w:firstLine="396"/>
        <w:spacing w:after="0" w:line="248" w:lineRule="auto"/>
        <w:tabs>
          <w:tab w:leader="none" w:pos="5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Participant hereby explicitly and unambiguously consents to the collection, use and transfer, whether in electronic or other form, of the Participant’s Personal Data (as described below) by and among, as applicable, the Company and any Subsidiary or Affiliate or third parties as may be selected by the Company for the exclusive purpose of implementing, administering, and managing the Participant’s participation in the Plan. The Participant understands that refusal or withdrawal of consent will affect the Participant’s ability to participate in the Plan; without providing consent, the Participant will not be able to participate in the Plan or realize benefits (if any) from the Award. The Participant understands that the Company and any Subsidiary or Affiliate or designated third parties may hold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or any Subsidiary or Affiliate, details of all Awards or any other entitlement to Shares awarded, canceled, exercised, vested, unvested or outstanding in the Participant’s favor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The Participant understands that Personal Data may be transferred to any Subsidiary or Affiliate or third parties assisting in the implementation, administration and management of the Plan, that these recipients may be located in the United States, the Participant’s country of residence, or elsewhere, and that the recipient’s country may have different data privacy laws and protections than the Participant’s country of residence.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341630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24"/>
          </w:cols>
          <w:pgMar w:left="1376" w:top="148" w:right="99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particular, the Company may transfer Personal Data to the broker or stock plan administrator assisting with the Plan, to its legal counsel and tax/accounting advisor, and to the Subsidiary or Affiliate for which the Participant performs Services.</w:t>
      </w:r>
    </w:p>
    <w:p>
      <w:pPr>
        <w:spacing w:after="0" w:line="189" w:lineRule="exact"/>
        <w:rPr>
          <w:sz w:val="20"/>
          <w:szCs w:val="20"/>
          <w:color w:val="auto"/>
        </w:rPr>
      </w:pPr>
    </w:p>
    <w:p>
      <w:pPr>
        <w:ind w:right="60" w:firstLine="397"/>
        <w:spacing w:after="0" w:line="246" w:lineRule="auto"/>
        <w:tabs>
          <w:tab w:leader="none" w:pos="90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Canadian Tax Treatment.</w:t>
      </w:r>
      <w:r>
        <w:rPr>
          <w:rFonts w:ascii="Times New Roman" w:cs="Times New Roman" w:eastAsia="Times New Roman" w:hAnsi="Times New Roman"/>
          <w:sz w:val="18"/>
          <w:szCs w:val="18"/>
          <w:color w:val="auto"/>
        </w:rPr>
        <w:t xml:space="preserve"> This Agreement is intended to comply with and be subject to the provisions of section 7 of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w:t>
      </w:r>
      <w:r>
        <w:rPr>
          <w:rFonts w:ascii="Times New Roman" w:cs="Times New Roman" w:eastAsia="Times New Roman" w:hAnsi="Times New Roman"/>
          <w:sz w:val="18"/>
          <w:szCs w:val="18"/>
          <w:b w:val="1"/>
          <w:bCs w:val="1"/>
          <w:color w:val="auto"/>
        </w:rPr>
        <w:t>Canadian Tax Act</w:t>
      </w:r>
      <w:r>
        <w:rPr>
          <w:rFonts w:ascii="Times New Roman" w:cs="Times New Roman" w:eastAsia="Times New Roman" w:hAnsi="Times New Roman"/>
          <w:sz w:val="18"/>
          <w:szCs w:val="18"/>
          <w:color w:val="auto"/>
        </w:rPr>
        <w:t>”) and shall be construed and interpreted in accordance with such intent.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reserves the right to amend this Agreement to the extent it reasonably determines is necessary in order to avoid any adverse tax consequences under the Canadian Tax Act. Notwithstanding anything to the contrary, none of the Company, its officers, directors, employees, agents or representatives guarantees that this Agreement complies with or is subject to the provisions of section 7 of the Canadian Tax Act and none of the foregoing shall have any liability for the failure of this Agreement to comply with, or be subject to the provisions of section 7 of the Canadian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341630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CANADIAN EMPLOYEE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errestrial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2"/>
          <w:szCs w:val="12"/>
          <w:u w:val="single" w:color="auto"/>
          <w:color w:val="auto"/>
        </w:rPr>
        <w:t>otice of</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2"/>
          <w:szCs w:val="12"/>
          <w:u w:val="single" w:color="auto"/>
          <w:color w:val="auto"/>
        </w:rPr>
        <w:t>ption</w:t>
      </w:r>
      <w:r>
        <w:rPr>
          <w:rFonts w:ascii="Times New Roman" w:cs="Times New Roman" w:eastAsia="Times New Roman" w:hAnsi="Times New Roman"/>
          <w:sz w:val="18"/>
          <w:szCs w:val="18"/>
          <w:u w:val="single" w:color="auto"/>
          <w:color w:val="auto"/>
        </w:rPr>
        <w:t xml:space="preserve"> G</w:t>
      </w:r>
      <w:r>
        <w:rPr>
          <w:rFonts w:ascii="Times New Roman" w:cs="Times New Roman" w:eastAsia="Times New Roman" w:hAnsi="Times New Roman"/>
          <w:sz w:val="12"/>
          <w:szCs w:val="12"/>
          <w:u w:val="single" w:color="auto"/>
          <w:color w:val="auto"/>
        </w:rPr>
        <w:t>rant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You are hereby provided this Notice of Option Grant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for the following option grant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under the Terrestrial Energy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capitalized terms in this Grant Notice shall have the meaning assigned to them in this Grant Notice or the attached Option Agreement, or if not defined herein or therein, in the Plan.</w:t>
      </w:r>
    </w:p>
    <w:p>
      <w:pPr>
        <w:spacing w:after="0" w:line="17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_________________</w:t>
      </w:r>
    </w:p>
    <w:p>
      <w:pPr>
        <w:spacing w:after="0" w:line="13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_________________</w:t>
      </w:r>
    </w:p>
    <w:p>
      <w:pPr>
        <w:spacing w:after="0" w:line="144"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_________________</w:t>
      </w:r>
    </w:p>
    <w:p>
      <w:pPr>
        <w:spacing w:after="0" w:line="13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$_________ per Share</w:t>
      </w:r>
    </w:p>
    <w:p>
      <w:pPr>
        <w:spacing w:after="0" w:line="13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_____ Shares</w:t>
      </w:r>
    </w:p>
    <w:p>
      <w:pPr>
        <w:spacing w:after="0" w:line="144"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Tenth Anniversary of the Grant Date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Optionholder shall acquire a vested interest in the Shares as follows:</w:t>
            </w:r>
          </w:p>
        </w:tc>
        <w:tc>
          <w:tcPr>
            <w:tcW w:w="2200" w:type="dxa"/>
            <w:vAlign w:val="bottom"/>
          </w:tcPr>
          <w:p>
            <w:pPr>
              <w:spacing w:after="0"/>
              <w:rPr>
                <w:sz w:val="20"/>
                <w:szCs w:val="20"/>
                <w:color w:val="auto"/>
              </w:rPr>
            </w:pPr>
          </w:p>
        </w:tc>
      </w:tr>
      <w:tr>
        <w:trPr>
          <w:trHeight w:val="297"/>
        </w:trPr>
        <w:tc>
          <w:tcPr>
            <w:tcW w:w="44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Option shall become vested as to [</w:t>
            </w:r>
          </w:p>
        </w:tc>
        <w:tc>
          <w:tcPr>
            <w:tcW w:w="220" w:type="dxa"/>
            <w:vAlign w:val="bottom"/>
          </w:tcPr>
          <w:p>
            <w:pPr>
              <w:spacing w:after="0"/>
              <w:rPr>
                <w:sz w:val="24"/>
                <w:szCs w:val="24"/>
                <w:color w:val="auto"/>
              </w:rPr>
            </w:pP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of the Shares subject to the Option on the [_________] anniversary of</w:t>
            </w:r>
          </w:p>
        </w:tc>
      </w:tr>
      <w:tr>
        <w:trPr>
          <w:trHeight w:val="20"/>
        </w:trPr>
        <w:tc>
          <w:tcPr>
            <w:tcW w:w="3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400" w:type="dxa"/>
            <w:vAlign w:val="bottom"/>
            <w:gridSpan w:val="4"/>
          </w:tcPr>
          <w:p>
            <w:pPr>
              <w:ind w:left="660"/>
              <w:spacing w:after="0" w:line="196" w:lineRule="exact"/>
              <w:rPr>
                <w:sz w:val="20"/>
                <w:szCs w:val="20"/>
                <w:color w:val="auto"/>
              </w:rPr>
            </w:pPr>
            <w:r>
              <w:rPr>
                <w:rFonts w:ascii="Times New Roman" w:cs="Times New Roman" w:eastAsia="Times New Roman" w:hAnsi="Times New Roman"/>
                <w:sz w:val="18"/>
                <w:szCs w:val="18"/>
                <w:color w:val="auto"/>
              </w:rPr>
              <w:t>the Vesting Commencement Date, such that the</w:t>
            </w:r>
          </w:p>
        </w:tc>
        <w:tc>
          <w:tcPr>
            <w:tcW w:w="332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Option is fully vested on the [​  ​</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anniversary of the Vesting</w:t>
            </w: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Commencement Date, subject to the Optionholder’s being in Active Employment or Active Engagement on each such vesting date. If the Optionholder’s Termination Date occurs prior to any vesting date, any portion of the Option that had not vested prior to the Termination Date shall be automatically forfeited as of the Termination Date and the Optionholder’s right to such portion of the Option shall immediately terminate without any payment or consideration by the Company.]</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Optionholder understands and agrees that the Option is granted subject to and in accordance with, and Optionholder agrees to be bound by, the terms of the Plan and the Option Agreement attached hereto. As of the Grant Date, this Grant Notice, the Option Agreement, and the Plan set forth the entire understanding between Optionholder and the Company regarding the Option and supersede all prior oral and written agreements with respect to the Option. The Optionholder acknowledges that there may be adverse tax consequences upon exercise of the Option or disposition of the underlying Shares and that the Optionholder should consult a tax advisor prior to such exercise or disposition. By accepting the Option, Optionholder consents to receive documents governing the Option by electronic delivery and to participate in the Plan through an online or electronic system established and maintained by the Company or another third party designated by the Company from time to time. This Grant Notice may be executed in counterparts, each of which shall be deemed an original but all of which together will constitute one and the same instrument. Counterpart signature pages to this Grant Notice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Terrestrial Energy Inc.</w:t>
            </w:r>
          </w:p>
        </w:tc>
        <w:tc>
          <w:tcPr>
            <w:tcW w:w="59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Optionholder</w:t>
            </w:r>
          </w:p>
        </w:tc>
      </w:tr>
      <w:tr>
        <w:trPr>
          <w:trHeight w:val="45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By:______________________________</w:t>
            </w:r>
          </w:p>
        </w:tc>
        <w:tc>
          <w:tcPr>
            <w:tcW w:w="5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By:_______________________________</w:t>
            </w:r>
          </w:p>
        </w:tc>
      </w:tr>
      <w:tr>
        <w:trPr>
          <w:trHeight w:val="225"/>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Name:____________________________</w:t>
            </w:r>
          </w:p>
        </w:tc>
        <w:tc>
          <w:tcPr>
            <w:tcW w:w="5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Name:_____________________________</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Title:_____________________________</w:t>
            </w:r>
          </w:p>
        </w:tc>
        <w:tc>
          <w:tcPr>
            <w:tcW w:w="5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Date:______________________________</w:t>
            </w:r>
          </w:p>
        </w:tc>
      </w:tr>
      <w:tr>
        <w:trPr>
          <w:trHeight w:val="234"/>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Date:_____________________________</w:t>
            </w:r>
          </w:p>
        </w:tc>
        <w:tc>
          <w:tcPr>
            <w:tcW w:w="5900" w:type="dxa"/>
            <w:vAlign w:val="bottom"/>
          </w:tcPr>
          <w:p>
            <w:pPr>
              <w:spacing w:after="0"/>
              <w:rPr>
                <w:sz w:val="20"/>
                <w:szCs w:val="20"/>
                <w:color w:val="auto"/>
              </w:rPr>
            </w:pPr>
          </w:p>
        </w:tc>
      </w:tr>
      <w:tr>
        <w:trPr>
          <w:trHeight w:val="803"/>
        </w:trPr>
        <w:tc>
          <w:tcPr>
            <w:tcW w:w="40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60" w:right="9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errestrial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2"/>
          <w:szCs w:val="12"/>
          <w:u w:val="single" w:color="auto"/>
          <w:color w:val="auto"/>
        </w:rPr>
        <w:t>ption</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OPTION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between Terrestrial Energy Inc., a Delaware corporation formerly known as “HCM II Acquisition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Optionholder indicated in the Grant Notice, under the Company’s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of the date set forth in the Grant Notice. This Agreement will be deemed to be signed by the Optionholder on the signing by the Optionholder of the Grant Notice to which it is attached.</w:t>
      </w:r>
    </w:p>
    <w:p>
      <w:pPr>
        <w:spacing w:after="0" w:line="148"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All capitalized terms in this Agreement and the Grant Notice shall have the meaning assigned to them in this Agreement, or if not defined herein, in the Plan. In the event of any conflict between the terms in this Agreement and the Plan, the terms of the Plan will control. The following definitions shall be in effect under this Agreement:</w:t>
      </w:r>
    </w:p>
    <w:p>
      <w:pPr>
        <w:spacing w:after="0" w:line="131" w:lineRule="exact"/>
        <w:rPr>
          <w:sz w:val="20"/>
          <w:szCs w:val="20"/>
          <w:color w:val="auto"/>
        </w:rPr>
      </w:pPr>
    </w:p>
    <w:p>
      <w:pPr>
        <w:jc w:val="both"/>
        <w:ind w:firstLine="1304"/>
        <w:spacing w:after="0" w:line="257" w:lineRule="auto"/>
        <w:tabs>
          <w:tab w:leader="none" w:pos="21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Active Employment</w:t>
      </w:r>
      <w:r>
        <w:rPr>
          <w:rFonts w:ascii="Times New Roman" w:cs="Times New Roman" w:eastAsia="Times New Roman" w:hAnsi="Times New Roman"/>
          <w:sz w:val="18"/>
          <w:szCs w:val="18"/>
          <w:color w:val="auto"/>
        </w:rPr>
        <w:t>” means in the case of an employee Optionholder, the period during which the Optionholder actively performs work for the Company; but excluding any period that follows or ought to have followed the later of: (a) if required pursuant to the applicable employment standards legislation as amended (the “</w:t>
      </w:r>
      <w:r>
        <w:rPr>
          <w:rFonts w:ascii="Times New Roman" w:cs="Times New Roman" w:eastAsia="Times New Roman" w:hAnsi="Times New Roman"/>
          <w:sz w:val="18"/>
          <w:szCs w:val="18"/>
          <w:b w:val="1"/>
          <w:bCs w:val="1"/>
          <w:i w:val="1"/>
          <w:iCs w:val="1"/>
          <w:color w:val="auto"/>
        </w:rPr>
        <w:t>ESL</w:t>
      </w:r>
      <w:r>
        <w:rPr>
          <w:rFonts w:ascii="Times New Roman" w:cs="Times New Roman" w:eastAsia="Times New Roman" w:hAnsi="Times New Roman"/>
          <w:sz w:val="18"/>
          <w:szCs w:val="18"/>
          <w:color w:val="auto"/>
        </w:rPr>
        <w:t>”), the end of the minimum notice of termination period that is required to be provided pursuant to the ESL (if any), or (b) the Optionholder’s last day of actively performing work for the Company, whether that period arises from a contractual or common law right. For certainty, "Active Employment" shall be deemed to include any period of vacation or other leave permitted by legislation.</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Active Engagement</w:t>
      </w:r>
      <w:r>
        <w:rPr>
          <w:rFonts w:ascii="Times New Roman" w:cs="Times New Roman" w:eastAsia="Times New Roman" w:hAnsi="Times New Roman"/>
          <w:sz w:val="18"/>
          <w:szCs w:val="18"/>
          <w:color w:val="auto"/>
        </w:rPr>
        <w:t>” means any period in which a non-employee Optionholder actively provides services to the Company. For certainty, “Active Engagement” shall exclude any period that follows, or ought to have followed, the Optionholder’s last day of actively providing services to the Company;</w:t>
      </w:r>
    </w:p>
    <w:p>
      <w:pPr>
        <w:spacing w:after="0" w:line="170"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means the Stock Option Exercise Agreement in the form provided by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62"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the date on which the Option expires as specified in the Grant Notice.</w:t>
      </w:r>
    </w:p>
    <w:p>
      <w:pPr>
        <w:spacing w:after="0" w:line="198"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date of grant of the Option as specified in the Grant Notice.</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2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of Option Grant accompanying this Agreement pursuant to which Optionholder has been informed of the basic terms of the Option evidenced by this Agreement.</w:t>
      </w:r>
    </w:p>
    <w:p>
      <w:pPr>
        <w:spacing w:after="0" w:line="114"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has the meaning given to that term in Section 2‎ of this Agreement.</w:t>
      </w:r>
    </w:p>
    <w:p>
      <w:pPr>
        <w:spacing w:after="0" w:line="198"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Period</w:t>
      </w:r>
      <w:r>
        <w:rPr>
          <w:rFonts w:ascii="Times New Roman" w:cs="Times New Roman" w:eastAsia="Times New Roman" w:hAnsi="Times New Roman"/>
          <w:sz w:val="18"/>
          <w:szCs w:val="18"/>
          <w:color w:val="auto"/>
        </w:rPr>
        <w:t>” has the meaning given to that term in Section 3‎ of this Agreement.</w:t>
      </w:r>
    </w:p>
    <w:p>
      <w:pPr>
        <w:spacing w:after="0" w:line="184"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Price</w:t>
      </w:r>
      <w:r>
        <w:rPr>
          <w:rFonts w:ascii="Times New Roman" w:cs="Times New Roman" w:eastAsia="Times New Roman" w:hAnsi="Times New Roman"/>
          <w:sz w:val="18"/>
          <w:szCs w:val="18"/>
          <w:color w:val="auto"/>
        </w:rPr>
        <w:t>” means the exercise price payable per Share as specified in the Grant Notice.</w:t>
      </w:r>
    </w:p>
    <w:p>
      <w:pPr>
        <w:spacing w:after="0" w:line="185" w:lineRule="exact"/>
        <w:rPr>
          <w:sz w:val="20"/>
          <w:szCs w:val="20"/>
          <w:color w:val="auto"/>
        </w:rPr>
      </w:pPr>
    </w:p>
    <w:p>
      <w:pPr>
        <w:ind w:left="2160" w:hanging="856"/>
        <w:spacing w:after="0"/>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Optionholder’s last day of Active Employment or Active Engagement, as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29" w:lineRule="exact"/>
        <w:rPr>
          <w:rFonts w:ascii="Times New Roman" w:cs="Times New Roman" w:eastAsia="Times New Roman" w:hAnsi="Times New Roman"/>
          <w:sz w:val="18"/>
          <w:szCs w:val="18"/>
          <w:color w:val="auto"/>
        </w:rPr>
      </w:pPr>
    </w:p>
    <w:p>
      <w:pPr>
        <w:jc w:val="both"/>
        <w:ind w:firstLine="656"/>
        <w:spacing w:after="0" w:line="241"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Optionholder, as of the Grant Date,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up to the number of Shares specified in the Grant Notice. The Shares shall be purchasable from time to time during the Option Period at the Option Price.</w:t>
      </w:r>
    </w:p>
    <w:p>
      <w:pPr>
        <w:spacing w:after="0" w:line="194" w:lineRule="exact"/>
        <w:rPr>
          <w:rFonts w:ascii="Times New Roman" w:cs="Times New Roman" w:eastAsia="Times New Roman" w:hAnsi="Times New Roman"/>
          <w:sz w:val="22"/>
          <w:szCs w:val="22"/>
          <w:color w:val="auto"/>
        </w:rPr>
      </w:pPr>
    </w:p>
    <w:p>
      <w:pPr>
        <w:ind w:firstLine="656"/>
        <w:spacing w:after="0" w:line="237"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Unless otherwise provided in the Grant Notice, the Option shall have a term (the “</w:t>
      </w:r>
      <w:r>
        <w:rPr>
          <w:rFonts w:ascii="Times New Roman" w:cs="Times New Roman" w:eastAsia="Times New Roman" w:hAnsi="Times New Roman"/>
          <w:sz w:val="18"/>
          <w:szCs w:val="18"/>
          <w:b w:val="1"/>
          <w:bCs w:val="1"/>
          <w:i w:val="1"/>
          <w:iCs w:val="1"/>
          <w:color w:val="auto"/>
        </w:rPr>
        <w:t>Option Period</w:t>
      </w:r>
      <w:r>
        <w:rPr>
          <w:rFonts w:ascii="Times New Roman" w:cs="Times New Roman" w:eastAsia="Times New Roman" w:hAnsi="Times New Roman"/>
          <w:sz w:val="18"/>
          <w:szCs w:val="18"/>
          <w:color w:val="auto"/>
        </w:rPr>
        <w:t>”) that expires on, and the Option shall cease to be outstanding as of, the earliest to occur of:</w:t>
      </w:r>
    </w:p>
    <w:p>
      <w:pPr>
        <w:spacing w:after="0" w:line="157" w:lineRule="exact"/>
        <w:rPr>
          <w:rFonts w:ascii="Times New Roman" w:cs="Times New Roman" w:eastAsia="Times New Roman" w:hAnsi="Times New Roman"/>
          <w:sz w:val="22"/>
          <w:szCs w:val="22"/>
          <w:color w:val="auto"/>
        </w:rPr>
      </w:pPr>
    </w:p>
    <w:p>
      <w:pPr>
        <w:ind w:left="2200" w:hanging="896"/>
        <w:spacing w:after="0"/>
        <w:tabs>
          <w:tab w:leader="none" w:pos="22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Date, in the event of the Optionholder’s termination of employment or engagement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w:t>
      </w:r>
    </w:p>
    <w:p>
      <w:pPr>
        <w:spacing w:after="0" w:line="206"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three months immediately following the Termination Date, for any reason other than Cause,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or death;</w:t>
      </w:r>
    </w:p>
    <w:p>
      <w:pPr>
        <w:spacing w:after="0" w:line="206"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Termination Date due to termination of Optionholder’s employment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due to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49" w:name="page50"/>
    <w:bookmarkEnd w:id="49"/>
    <w:p>
      <w:pPr>
        <w:ind w:right="20" w:firstLine="1304"/>
        <w:spacing w:after="0" w:line="282" w:lineRule="auto"/>
        <w:tabs>
          <w:tab w:leader="none" w:pos="21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Optionholder’s death, if the Optionholder dies while in Service or dies during the three- or 12-month periods described in subsections (b) and (c) above; and</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Expiration Date.</w:t>
      </w:r>
    </w:p>
    <w:p>
      <w:pPr>
        <w:spacing w:after="0" w:line="252" w:lineRule="exact"/>
        <w:rPr>
          <w:rFonts w:ascii="Times New Roman" w:cs="Times New Roman" w:eastAsia="Times New Roman" w:hAnsi="Times New Roman"/>
          <w:sz w:val="18"/>
          <w:szCs w:val="18"/>
          <w:color w:val="auto"/>
        </w:rPr>
      </w:pPr>
    </w:p>
    <w:p>
      <w:pPr>
        <w:jc w:val="both"/>
        <w:ind w:firstLine="656"/>
        <w:spacing w:after="0" w:line="243"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Dates of Exercise</w:t>
      </w:r>
      <w:r>
        <w:rPr>
          <w:rFonts w:ascii="Times New Roman" w:cs="Times New Roman" w:eastAsia="Times New Roman" w:hAnsi="Times New Roman"/>
          <w:sz w:val="18"/>
          <w:szCs w:val="18"/>
          <w:color w:val="auto"/>
        </w:rPr>
        <w:t>. The Option shall become exercisable for the Shares as they become vested pursuant to the vesting schedule specified in the Grant Notice. All vested portions of the Option shall accumulate, and the Option shall remain exercisable for the accumulated vested portions until the Option Period expires, as described in Section 3 above. Unless otherwise provided in the Grant Notice, any unvested portions of the Option shall be forfeited upon the Termination Date.</w:t>
      </w:r>
    </w:p>
    <w:p>
      <w:pPr>
        <w:spacing w:after="0" w:line="181" w:lineRule="exact"/>
        <w:rPr>
          <w:rFonts w:ascii="Times New Roman" w:cs="Times New Roman" w:eastAsia="Times New Roman" w:hAnsi="Times New Roman"/>
          <w:sz w:val="22"/>
          <w:szCs w:val="22"/>
          <w:color w:val="auto"/>
        </w:rPr>
      </w:pPr>
    </w:p>
    <w:p>
      <w:pPr>
        <w:ind w:firstLine="656"/>
        <w:spacing w:after="0" w:line="234"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Upon a Change in Control, the Options shall be subject to the provisions of the Plan, and, if applicable, the Grant Notice, regarding a Change in Control.</w:t>
      </w:r>
    </w:p>
    <w:p>
      <w:pPr>
        <w:spacing w:after="0" w:line="226" w:lineRule="exact"/>
        <w:rPr>
          <w:rFonts w:ascii="Times New Roman" w:cs="Times New Roman" w:eastAsia="Times New Roman" w:hAnsi="Times New Roman"/>
          <w:sz w:val="22"/>
          <w:szCs w:val="22"/>
          <w:color w:val="auto"/>
        </w:rPr>
      </w:pPr>
    </w:p>
    <w:p>
      <w:pPr>
        <w:jc w:val="both"/>
        <w:ind w:right="20" w:firstLine="656"/>
        <w:spacing w:after="0" w:line="239"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Shareholder Privileges</w:t>
      </w:r>
      <w:r>
        <w:rPr>
          <w:rFonts w:ascii="Times New Roman" w:cs="Times New Roman" w:eastAsia="Times New Roman" w:hAnsi="Times New Roman"/>
          <w:sz w:val="18"/>
          <w:szCs w:val="18"/>
          <w:color w:val="auto"/>
        </w:rPr>
        <w:t>. The Optionholder shall not have any rights as a shareholder with respect to the Shares until the Optionholder becomes the holder of record of such Shares, and no adjustments shall be made for dividends or other distributions or other rights as to which there is a record date preceding the date such Optionholder becomes the holder of record of such Shares.</w:t>
      </w:r>
    </w:p>
    <w:p>
      <w:pPr>
        <w:spacing w:after="0" w:line="199"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Manner of Exercising Option</w:t>
      </w:r>
      <w:r>
        <w:rPr>
          <w:rFonts w:ascii="Times New Roman" w:cs="Times New Roman" w:eastAsia="Times New Roman" w:hAnsi="Times New Roman"/>
          <w:sz w:val="18"/>
          <w:szCs w:val="18"/>
          <w:color w:val="auto"/>
        </w:rPr>
        <w:t>. To exercise an Option, the Optionholder shall deliver written notice to the Company specifying the number of Shares for which the Option is exercised. In addition, the Optionholder (or any other person or persons exercising the Option) must:</w:t>
      </w:r>
    </w:p>
    <w:p>
      <w:pPr>
        <w:spacing w:after="0" w:line="159" w:lineRule="exact"/>
        <w:rPr>
          <w:rFonts w:ascii="Times New Roman" w:cs="Times New Roman" w:eastAsia="Times New Roman" w:hAnsi="Times New Roman"/>
          <w:sz w:val="22"/>
          <w:szCs w:val="22"/>
          <w:color w:val="auto"/>
        </w:rPr>
      </w:pPr>
    </w:p>
    <w:p>
      <w:pPr>
        <w:ind w:left="2200" w:hanging="896"/>
        <w:spacing w:after="0"/>
        <w:tabs>
          <w:tab w:leader="none" w:pos="2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Company the Exercise Agreement.</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aggregate Option Price for the purchased Shares in one or more of the methods provided for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1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Company appropriate documentation that the person or persons exercising the Option (if other than Optionholder) have the right to exercise the Option.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Company such written representations as may be requested by the Company for it to comply with the requirements of applicable securities 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arrangements with the Company for the satisfaction of all applicable income, employment, and other tax withholding requirements applicable to the Option exercise (including any applicable Canadian federal, provincial, territorial withholding requirements on account of taxes or social security contributions).</w:t>
      </w:r>
    </w:p>
    <w:p>
      <w:pPr>
        <w:spacing w:after="0" w:line="202" w:lineRule="exact"/>
        <w:rPr>
          <w:rFonts w:ascii="Times New Roman" w:cs="Times New Roman" w:eastAsia="Times New Roman" w:hAnsi="Times New Roman"/>
          <w:sz w:val="18"/>
          <w:szCs w:val="18"/>
          <w:color w:val="auto"/>
        </w:rPr>
      </w:pPr>
    </w:p>
    <w:p>
      <w:pPr>
        <w:ind w:firstLine="656"/>
        <w:spacing w:after="0" w:line="234"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Transfer Restrictions and Repurchase Rights</w:t>
      </w:r>
      <w:r>
        <w:rPr>
          <w:rFonts w:ascii="Times New Roman" w:cs="Times New Roman" w:eastAsia="Times New Roman" w:hAnsi="Times New Roman"/>
          <w:sz w:val="18"/>
          <w:szCs w:val="18"/>
          <w:color w:val="auto"/>
        </w:rPr>
        <w:t>. Optionholder hereby acknowledges and agrees that the Option is subject to certain limitations on transferability as set forth in the Plan.</w:t>
      </w:r>
    </w:p>
    <w:p>
      <w:pPr>
        <w:spacing w:after="0" w:line="186"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The issuance, transfer, vesting and ownership of Shares shall be subject to compliance by the Company and Optionholder with all applicable requirements of federal and state securities laws and with all applicable requirements of any stock exchange on which the Stock may be listed at the time of such issuance or transfer. Optionholder agrees to cooperate with the Company to ensure compliance with such laws and requirements.</w:t>
      </w:r>
    </w:p>
    <w:p>
      <w:pPr>
        <w:spacing w:after="0" w:line="19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Common Law Waiver</w:t>
      </w:r>
      <w:r>
        <w:rPr>
          <w:rFonts w:ascii="Times New Roman" w:cs="Times New Roman" w:eastAsia="Times New Roman" w:hAnsi="Times New Roman"/>
          <w:sz w:val="18"/>
          <w:szCs w:val="18"/>
          <w:color w:val="auto"/>
        </w:rPr>
        <w:t>. The Optionholder agrees that they shall have no entitlement to damages or other compensation arising from or related to not receiving any or all of the awards, payments, vesting or benefits that would have accrued to the Optionholder after the Termination Date. For clarity, except for the minimum period of notice of termination required to be provided pursuant to the ESL (if any and if applicable), no period of notice, if any, or payment instead of notice that is given or that ought to have been given under contract or at common law (whether or not imposed by a court), in respect of such termination of employment that follows or is in respect of a period after the Optionholder’s Termination Date will be considered as extending the Optionholder’s period of employment or engagement or be used for purposes of calculating the Optionholder’s entitlement under the Plan, this Agreement or the Grant Notice. The Optionholder waives the right to receive damages or payment in lieu of any forfeited vesting, remuneration or grant that would have accrued during any contractual or common law reasonable notice period that exceeds the Optionholder’s minimum statutory notice of termination period beyond that required by the ESL (if any and if applicable).</w:t>
      </w:r>
    </w:p>
    <w:p>
      <w:pPr>
        <w:spacing w:after="0" w:line="225" w:lineRule="exact"/>
        <w:rPr>
          <w:rFonts w:ascii="Times New Roman" w:cs="Times New Roman" w:eastAsia="Times New Roman" w:hAnsi="Times New Roman"/>
          <w:sz w:val="22"/>
          <w:szCs w:val="22"/>
          <w:color w:val="auto"/>
        </w:rPr>
      </w:pPr>
    </w:p>
    <w:p>
      <w:pPr>
        <w:ind w:firstLine="656"/>
        <w:spacing w:after="0" w:line="234"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This Agreement shall be binding upon and inure to the benefit of the successors and assigns of the Company. Subject to the restrictions on transfer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7" w:right="99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herein, this Agreement shall be binding upon Optionholder and Optionholders’s heirs, executors, administrators, legal representatives, successors and assigns.</w:t>
      </w:r>
    </w:p>
    <w:p>
      <w:pPr>
        <w:spacing w:after="0" w:line="148" w:lineRule="exact"/>
        <w:rPr>
          <w:sz w:val="20"/>
          <w:szCs w:val="20"/>
          <w:color w:val="auto"/>
        </w:rPr>
      </w:pPr>
    </w:p>
    <w:p>
      <w:pPr>
        <w:jc w:val="both"/>
        <w:ind w:firstLine="656"/>
        <w:spacing w:after="0" w:line="245"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Every notice or other communication relating to this Agreement shall be in writing, and shall be mailed via certified mail or overnight courier, postage prepaid, to the party for whom it is intended at such address as may from time to time be designated by it in a notice mailed or delivered to the other party as herein provided; provided that, unless and until some other address be so designated, all notices or communications by Optionholder to the Company shall be mailed or delivered to the Company at its principal executive office, and all notices or communications by the Company to Optionholder may be given to Optionholder personally or may be mailed to Optionholder at the address as recorded in the records of the Company.</w:t>
      </w:r>
    </w:p>
    <w:p>
      <w:pPr>
        <w:spacing w:after="0" w:line="19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Grant Subject to Plan; Exercise Agreement</w:t>
      </w:r>
      <w:r>
        <w:rPr>
          <w:rFonts w:ascii="Times New Roman" w:cs="Times New Roman" w:eastAsia="Times New Roman" w:hAnsi="Times New Roman"/>
          <w:sz w:val="18"/>
          <w:szCs w:val="18"/>
          <w:color w:val="auto"/>
        </w:rPr>
        <w:t>. This Agreement and the Option are made and granted pursuant to the Plan and are in all respects limited by and subject to the terms of the Plan. Optionholder hereby acknowledges and agrees that (a) the Company has made available to Optionholder copies of the Plan and the form of Exercise Agreement and (b) Optionholder has had the opportunity to review such documents and this Agreement and to consult with the Optionholder’s individual tax advisor and legal counsel with respect to the same. Optionholder further agrees to be bound by the terms of the Plan and the terms of the Option as set forth in this Agreement. Optionholder understands that any Shares purchased hereunder will be subject to the terms set forth in the Exercise Agreement to be executed by Optionholder and the Company upon any exercise of the Option. In the event of any conflict between this Agreement and the Plan, the provisions of the Plan will control. All decisions of the Committee with respect to any question or issue arising under the Plan or this Agreement shall be conclusive and binding on all persons having an interest in the Option.</w:t>
      </w:r>
    </w:p>
    <w:p>
      <w:pPr>
        <w:spacing w:after="0" w:line="181"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6"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substantive laws of the State of Delaware without regard to its conflict of laws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195"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If the Shares covered by this Agreement exceed, as of the Grant Date, the number of Shares which may be issued under the Plan as last approved by the Company’s shareholders, then the Option shall be void with respect to such excess Shares, unless shareholder approval of an amendment sufficiently increasing the number of Shares issuable under the Plan is obtained in accordance with the provisions of the Plan.</w:t>
      </w:r>
    </w:p>
    <w:p>
      <w:pPr>
        <w:spacing w:after="0" w:line="181"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Discretionary Nature of Plan</w:t>
      </w:r>
      <w:r>
        <w:rPr>
          <w:rFonts w:ascii="Times New Roman" w:cs="Times New Roman" w:eastAsia="Times New Roman" w:hAnsi="Times New Roman"/>
          <w:sz w:val="18"/>
          <w:szCs w:val="18"/>
          <w:color w:val="auto"/>
        </w:rPr>
        <w:t>. The Plan is discretionary and may be amended, cancelled or terminated by the Company at any time, in its discretion. The grant of the Options hereunder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Optionholder’s employment with or engagement by the Company or its Affiliates.</w:t>
      </w:r>
    </w:p>
    <w:p>
      <w:pPr>
        <w:spacing w:after="0" w:line="183"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has the right to amend, alter, suspend, discontinue or cancel this Agreement; provided, that, no such amendment shall materially and adversely affect Optionholder’s rights under this Agreement without Optionholder’s consent.</w:t>
      </w:r>
    </w:p>
    <w:p>
      <w:pPr>
        <w:spacing w:after="0" w:line="199" w:lineRule="exact"/>
        <w:rPr>
          <w:rFonts w:ascii="Times New Roman" w:cs="Times New Roman" w:eastAsia="Times New Roman" w:hAnsi="Times New Roman"/>
          <w:sz w:val="22"/>
          <w:szCs w:val="22"/>
          <w:color w:val="auto"/>
        </w:rPr>
      </w:pPr>
    </w:p>
    <w:p>
      <w:pPr>
        <w:ind w:firstLine="656"/>
        <w:spacing w:after="0" w:line="234"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provision contained in this Agreement may be waived, either generally or in any particular instance, by the Committee, but only to the extent permitted under the Plan.</w:t>
      </w:r>
    </w:p>
    <w:p>
      <w:pPr>
        <w:spacing w:after="0" w:line="186"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Guarantee</w:t>
      </w:r>
      <w:r>
        <w:rPr>
          <w:rFonts w:ascii="Times New Roman" w:cs="Times New Roman" w:eastAsia="Times New Roman" w:hAnsi="Times New Roman"/>
          <w:sz w:val="18"/>
          <w:szCs w:val="18"/>
          <w:color w:val="auto"/>
        </w:rPr>
        <w:t>. Neither the Plan nor this Agreement shall confer upon Optionholder any right to continued employment or engagement or a promise of future employment or engagement with Company or any Affiliate. Further, nothing in the Plan or this Agreement shall be construed to limit the discretion of the Company to terminate Optionholder’s employment or engagement at any time, with or without Cause.</w:t>
      </w:r>
    </w:p>
    <w:p>
      <w:pPr>
        <w:spacing w:after="0" w:line="16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22"/>
          <w:szCs w:val="22"/>
          <w:color w:val="auto"/>
        </w:rPr>
      </w:pPr>
    </w:p>
    <w:p>
      <w:pPr>
        <w:jc w:val="both"/>
        <w:ind w:firstLine="1952"/>
        <w:spacing w:after="0" w:line="256" w:lineRule="auto"/>
        <w:tabs>
          <w:tab w:leader="none" w:pos="22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deliver Shares upon the exercise of the Option shall be subject to the Optionholder’s satisfaction of all applicable federal, state and local income and other tax withholding requirements (as well as any applicable Canadian federal, provincial, territorial withholding requirements on account of taxes or social security contributions). Upon exercise of the Option, the Optionholder shall make appropriate arrangements with the Company to provide for the amount of withholding required by Sections 3102 and 3402 of the Code and applicable state income tax laws (as well as any applicable Canadian federal, provincial, territorial withholding requirements on account of taxes or social security contributions). The Committee may,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04" w:right="999" w:bottom="1440" w:gutter="0" w:footer="0" w:header="0"/>
        </w:sectPr>
      </w:pPr>
    </w:p>
    <w:bookmarkStart w:id="51" w:name="page52"/>
    <w:bookmarkEnd w:id="51"/>
    <w:p>
      <w:pPr>
        <w:jc w:val="both"/>
        <w:spacing w:after="0" w:line="252" w:lineRule="auto"/>
        <w:rPr>
          <w:sz w:val="20"/>
          <w:szCs w:val="20"/>
          <w:color w:val="auto"/>
        </w:rPr>
      </w:pPr>
      <w:r>
        <w:rPr>
          <w:rFonts w:ascii="Times New Roman" w:cs="Times New Roman" w:eastAsia="Times New Roman" w:hAnsi="Times New Roman"/>
          <w:sz w:val="18"/>
          <w:szCs w:val="18"/>
          <w:color w:val="auto"/>
        </w:rPr>
        <w:t>sole discretion, permit the Optionholder to pay all such amounts of tax withholding, or any part thereof, by electing (i) to tender a cash payment, (ii) to have the Company withhold from Shares otherwise issuable to the Optionholder a number of Shares having a value equal to the amount required to be withheld or such lesser amount as may be elected by the Optionholder; provided however, that the number of Shares so withheld shall not exceed the maximum amount required to be withheld (or such lesser amount as may be necessary to avoid classification as a liability under applicable accounting standards), or (iii) to transfer to the Company a number of Shares that were acquired by the Optionholder more than six months prior to the transfer to the Company and that have a value equal to the amount required to be withheld or such lesser amount as may be elected by the Optionholder. All elections shall be subject to the approval or disapproval of the Committee. The value of the Shares to be withheld shall be based on the Fair Market Value of the Shares on the date that the amount of tax to be withheld is to be determined (the “</w:t>
      </w:r>
      <w:r>
        <w:rPr>
          <w:rFonts w:ascii="Times New Roman" w:cs="Times New Roman" w:eastAsia="Times New Roman" w:hAnsi="Times New Roman"/>
          <w:sz w:val="18"/>
          <w:szCs w:val="18"/>
          <w:b w:val="1"/>
          <w:bCs w:val="1"/>
          <w:i w:val="1"/>
          <w:iCs w:val="1"/>
          <w:color w:val="auto"/>
        </w:rPr>
        <w:t>Tax Date</w:t>
      </w:r>
      <w:r>
        <w:rPr>
          <w:rFonts w:ascii="Times New Roman" w:cs="Times New Roman" w:eastAsia="Times New Roman" w:hAnsi="Times New Roman"/>
          <w:sz w:val="18"/>
          <w:szCs w:val="18"/>
          <w:color w:val="auto"/>
        </w:rPr>
        <w:t>”). Any such election by the Optionholder to have Shares withheld for this purpose will be subject to the following restrictions: (x) all elections must be made prior to the Tax Date; (y) all elections shall be irrevocable; (z) if the Optionholder is an officer or director of the Company within the meaning of Section 16 of the Securities Exchange Act of 1934, as it may be amended from time to time, (“</w:t>
      </w:r>
      <w:r>
        <w:rPr>
          <w:rFonts w:ascii="Times New Roman" w:cs="Times New Roman" w:eastAsia="Times New Roman" w:hAnsi="Times New Roman"/>
          <w:sz w:val="18"/>
          <w:szCs w:val="18"/>
          <w:b w:val="1"/>
          <w:bCs w:val="1"/>
          <w:i w:val="1"/>
          <w:iCs w:val="1"/>
          <w:color w:val="auto"/>
        </w:rPr>
        <w:t>Section 16</w:t>
      </w:r>
      <w:r>
        <w:rPr>
          <w:rFonts w:ascii="Times New Roman" w:cs="Times New Roman" w:eastAsia="Times New Roman" w:hAnsi="Times New Roman"/>
          <w:sz w:val="18"/>
          <w:szCs w:val="18"/>
          <w:color w:val="auto"/>
        </w:rPr>
        <w:t>”), the Optionholder must satisfy the requirements of Section 16 and any applicable rules thereunder with respect to the use of Shares to satisfy such tax withholding obligation.</w:t>
      </w:r>
    </w:p>
    <w:p>
      <w:pPr>
        <w:spacing w:after="0" w:line="197" w:lineRule="exact"/>
        <w:rPr>
          <w:sz w:val="20"/>
          <w:szCs w:val="20"/>
          <w:color w:val="auto"/>
        </w:rPr>
      </w:pPr>
    </w:p>
    <w:p>
      <w:pPr>
        <w:jc w:val="both"/>
        <w:ind w:firstLine="1952"/>
        <w:spacing w:after="0" w:line="256" w:lineRule="auto"/>
        <w:tabs>
          <w:tab w:leader="none" w:pos="22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action the Company takes with respect to any or all income tax, social insurance, payroll tax, or other tax-related withholding (other than the employer portion of any such amounts)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the ultimate liability for all Tax-Related Items is and remains the Optionholder’s responsibility and the Company (i) makes no representation or undertakings regarding the treatment of any Tax-Related Items in connection with the grant, vesting or exercise of the Options or the subsequent sale of any Shares; and (ii) does not commit to structure the Options to reduce or eliminate the Optionholder’s liability for Tax-Related Items.</w:t>
      </w:r>
    </w:p>
    <w:p>
      <w:pPr>
        <w:spacing w:after="0" w:line="214"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In accordance with Section 13.6 of the Plan, by accepting the Option, Optionholder acknowledges that Optionholder is fully bound by, and subject to all of the terms and conditions of, the Clawback Policy, and Optionholder agrees to abide by the terms of the Clawback Policy. To the extent that the Board determines that all or a portion of the Option or the Shares issued on exercise of the Option must be cancelled, forfeited, repaid, or otherwise recovered by the Company, Optionholder shall promptly take whatever action is necessary to effectuate such cancellation, forfeiture, repayment, or recovery. In the event of any conflict between the terms of the Clawback Policy and the terms of the Plan or this Agreement, the terms of the Clawback Policy shall govern.</w:t>
      </w:r>
    </w:p>
    <w:p>
      <w:pPr>
        <w:spacing w:after="0" w:line="183"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Obligation to Notify</w:t>
      </w:r>
      <w:r>
        <w:rPr>
          <w:rFonts w:ascii="Times New Roman" w:cs="Times New Roman" w:eastAsia="Times New Roman" w:hAnsi="Times New Roman"/>
          <w:sz w:val="18"/>
          <w:szCs w:val="18"/>
          <w:color w:val="auto"/>
        </w:rPr>
        <w:t>. The Company shall have no duty or obligation to Optionholder to advise as to the time or manner of exercising his or her Option. Furthermore, the Company shall have no duty or obligation to warn or otherwise advise Optionholder of a pending termination or expiration of an Option or a possible period in which the Option may not be exercised. The Company has no duty or obligation to minimize the tax consequences of an Option to the Optionholder.</w:t>
      </w:r>
    </w:p>
    <w:p>
      <w:pPr>
        <w:spacing w:after="0" w:line="19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Optionholder’s participation in the Plan, or Optionholder’s acquisition or sale of the underlying Shares. Optionholder is hereby advised to consult with his or her personal tax, legal, and financial advisors regarding his or her participation in the Plan before taking any action related to the Plan. Optionholder has reviewed with his or her tax advisors the U.S. federal, state, and local tax consequences of this investment and the transactions contemplated by this Agreement. With respect to such matters, Optionholder relies solely on such advisors and not on any statements or representations of the Company or any of its agents, written or oral. Optionholder understands that Optionholder (and not the Company) shall be responsible for Optionholder’s own tax liability that may arise as a result of this investment or the transactions contemplated by this Agreement.</w:t>
      </w:r>
    </w:p>
    <w:p>
      <w:pPr>
        <w:spacing w:after="0" w:line="178" w:lineRule="exact"/>
        <w:rPr>
          <w:rFonts w:ascii="Times New Roman" w:cs="Times New Roman" w:eastAsia="Times New Roman" w:hAnsi="Times New Roman"/>
          <w:sz w:val="22"/>
          <w:szCs w:val="22"/>
          <w:color w:val="auto"/>
        </w:rPr>
      </w:pPr>
    </w:p>
    <w:p>
      <w:pPr>
        <w:jc w:val="both"/>
        <w:ind w:firstLine="656"/>
        <w:spacing w:after="0" w:line="24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is intended to comply with, or be exempt from, the provisions of Section 409A of the Code and shall be construed and interpreted in accordance with such intent. The Company reserves the right to amend this Agreement to the extent it reasonably determines is necessary in order to avoid any adverse tax consequences under Section 409A of the Code. Notwithstanding anything to the contrary, none of the Company, its officers, directors, employees, agents or representatives guarantees that this Agreement complies with, or is exempt from, the provisions of Section 409A of the Code and none of the foregoing shall have any liability for the failure of this Agreement to comply with, or be exempt from, the provisions of Section 409A of the Code.</w:t>
      </w:r>
    </w:p>
    <w:p>
      <w:pPr>
        <w:spacing w:after="0" w:line="183"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Canadian Tax Treatment</w:t>
      </w:r>
      <w:r>
        <w:rPr>
          <w:rFonts w:ascii="Times New Roman" w:cs="Times New Roman" w:eastAsia="Times New Roman" w:hAnsi="Times New Roman"/>
          <w:sz w:val="18"/>
          <w:szCs w:val="18"/>
          <w:color w:val="auto"/>
        </w:rPr>
        <w:t xml:space="preserve">. This Agreement is intended to comply with and be subject to the provisions of section 7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Canadian Tax Act</w:t>
      </w:r>
      <w:r>
        <w:rPr>
          <w:rFonts w:ascii="Times New Roman" w:cs="Times New Roman" w:eastAsia="Times New Roman" w:hAnsi="Times New Roman"/>
          <w:sz w:val="18"/>
          <w:szCs w:val="18"/>
          <w:color w:val="auto"/>
        </w:rPr>
        <w:t>”) and shall be construed and interpreted in accordance with such intent. The Company reserves the right to amend this Agreement to the extent it reasonably determines is necessary in order to avoid any adverse tax consequences under the Canadian Tax Act. Notwithstanding anything to the contrary, none of the Company, its officers, directors, employees, agents or representatives guarantees that this Agreement complies with or is subject to the provisions of section 7 of the Canadian Tax Act and none of the foregoing shall have any liability for the failure of this Agreement to comply with, or be subject to the provisions of section 7 of the Canadian Tax Act.</w:t>
      </w:r>
    </w:p>
    <w:p>
      <w:pPr>
        <w:spacing w:after="0" w:line="19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Impact on Other Benefits</w:t>
      </w:r>
      <w:r>
        <w:rPr>
          <w:rFonts w:ascii="Times New Roman" w:cs="Times New Roman" w:eastAsia="Times New Roman" w:hAnsi="Times New Roman"/>
          <w:sz w:val="18"/>
          <w:szCs w:val="18"/>
          <w:color w:val="auto"/>
        </w:rPr>
        <w:t>. Unless otherwise required by the ESL, the value of the Options shall not be part of the Optionholder’s normal or expected compensation for purposes of calculating any severance, retirement, welfare, insurance or similar employee benefit unless such benefit explicitly provides for inclusion of the applicable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4" w:right="999" w:bottom="1440" w:gutter="0" w:footer="0" w:header="0"/>
        </w:sectPr>
      </w:pPr>
    </w:p>
    <w:bookmarkStart w:id="52" w:name="page53"/>
    <w:bookmarkEnd w:id="52"/>
    <w:p>
      <w:pPr>
        <w:jc w:val="both"/>
        <w:ind w:left="-460" w:firstLine="656"/>
        <w:spacing w:after="0" w:line="248" w:lineRule="auto"/>
        <w:tabs>
          <w:tab w:leader="none" w:pos="8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Optionholder hereby explicitly and unambiguously consents to the collection, use and transfer, whether in electronic or other form, of Optionholder’s Personal Data (as described below) by and among, as applicable, the Company and any Subsidiary or Affiliate or third parties as may be selected by the Company for the exclusive purpose of implementing, administering, and managing Optionholder’s participation in the Plan. Optionholder understands that refusal or withdrawal of consent will affect Optionholder’s ability to participate in the Plan; without providing consent, Optionholder will not be able to participate in the Plan or realize benefits (if any) from the Option. Optionholder understands that the Company and any Subsidiary or Affiliate or designated third parties may hold personal information about Optionholder, including, but not limited to, Optionholder’s name, home address and telephone number, date of birth, social insurance number or other identification number, salary, nationality, job title, any shares of stock or directorships held in the Company or any Subsidiary or Affiliate, details of all Options or any other entitlement to Shares awarded, canceled, exercised, vested, unvested or outstanding in Optionholder’s favor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Optionholder understands that Personal Data may be transferred to any Subsidiary or Affiliate or third parties assisting in the implementation, administration and management of the Plan, that these recipients may be located in the United States, Optionholder’s country of residence, or elsewhere, and that the recipient’s country may have different data privacy laws and protections than Optionholder’s country of residence. In particular, the Company may transfer Personal Data to the broker or stock plan administrator assisting with the Plan, to its legal counsel and tax/accounting advisor, and to the Subsidiary or Affiliate that is Optionholder’s employer and its payroll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584835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931"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Irish,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Terrestrial Energy Inc.;</w:t>
      </w:r>
    </w:p>
    <w:p>
      <w:pPr>
        <w:spacing w:after="0" w:line="225" w:lineRule="exact"/>
        <w:rPr>
          <w:rFonts w:ascii="Times New Roman" w:cs="Times New Roman" w:eastAsia="Times New Roman" w:hAnsi="Times New Roman"/>
          <w:sz w:val="18"/>
          <w:szCs w:val="18"/>
          <w:color w:val="auto"/>
        </w:rPr>
      </w:pPr>
    </w:p>
    <w:p>
      <w:pPr>
        <w:ind w:firstLine="8"/>
        <w:spacing w:after="0" w:line="266" w:lineRule="auto"/>
        <w:tabs>
          <w:tab w:leader="none" w:pos="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right="80" w:firstLine="8"/>
        <w:spacing w:after="0" w:line="276" w:lineRule="auto"/>
        <w:tabs>
          <w:tab w:leader="none" w:pos="3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right="100" w:firstLine="332"/>
        <w:spacing w:after="0" w:line="266"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332"/>
        <w:spacing w:after="0" w:line="266"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80" w:firstLine="332"/>
        <w:spacing w:after="0" w:line="266"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right="120" w:firstLine="8"/>
        <w:spacing w:after="0" w:line="266" w:lineRule="auto"/>
        <w:tabs>
          <w:tab w:leader="none" w:pos="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82"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Simon Irish</w:t>
            </w:r>
          </w:p>
        </w:tc>
      </w:tr>
      <w:tr>
        <w:trPr>
          <w:trHeight w:val="191"/>
        </w:trPr>
        <w:tc>
          <w:tcPr>
            <w:tcW w:w="3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Simon Irish</w:t>
            </w:r>
          </w:p>
        </w:tc>
      </w:tr>
      <w:tr>
        <w:trPr>
          <w:trHeight w:val="214"/>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Thrasher,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Terrestrial Energy Inc.;</w:t>
      </w:r>
    </w:p>
    <w:p>
      <w:pPr>
        <w:spacing w:after="0" w:line="225" w:lineRule="exact"/>
        <w:rPr>
          <w:rFonts w:ascii="Times New Roman" w:cs="Times New Roman" w:eastAsia="Times New Roman" w:hAnsi="Times New Roman"/>
          <w:sz w:val="18"/>
          <w:szCs w:val="18"/>
          <w:color w:val="auto"/>
        </w:rPr>
      </w:pPr>
    </w:p>
    <w:p>
      <w:pPr>
        <w:ind w:firstLine="8"/>
        <w:spacing w:after="0" w:line="266"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right="80" w:firstLine="8"/>
        <w:spacing w:after="0" w:line="276" w:lineRule="auto"/>
        <w:tabs>
          <w:tab w:leader="none" w:pos="3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right="100" w:firstLine="332"/>
        <w:spacing w:after="0" w:line="266"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332"/>
        <w:spacing w:after="0" w:line="266"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80" w:firstLine="332"/>
        <w:spacing w:after="0" w:line="266"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right="120" w:firstLine="8"/>
        <w:spacing w:after="0" w:line="266"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82"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Brian Thrasher</w:t>
            </w:r>
          </w:p>
        </w:tc>
      </w:tr>
      <w:tr>
        <w:trPr>
          <w:trHeight w:val="191"/>
        </w:trPr>
        <w:tc>
          <w:tcPr>
            <w:tcW w:w="3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Thrasher</w:t>
            </w:r>
          </w:p>
        </w:tc>
      </w:tr>
      <w:tr>
        <w:trPr>
          <w:trHeight w:val="214"/>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Terrestrial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quarterly period ended March 31, 2026, as filed with the Securities and Exchange Commission on the date hereof (the “</w:t>
      </w:r>
      <w:r>
        <w:rPr>
          <w:rFonts w:ascii="Times New Roman" w:cs="Times New Roman" w:eastAsia="Times New Roman" w:hAnsi="Times New Roman"/>
          <w:sz w:val="18"/>
          <w:szCs w:val="18"/>
          <w:b w:val="1"/>
          <w:bCs w:val="1"/>
          <w:color w:val="auto"/>
        </w:rPr>
        <w:t>Repor</w:t>
      </w:r>
      <w:r>
        <w:rPr>
          <w:rFonts w:ascii="Times New Roman" w:cs="Times New Roman" w:eastAsia="Times New Roman" w:hAnsi="Times New Roman"/>
          <w:sz w:val="18"/>
          <w:szCs w:val="18"/>
          <w:color w:val="auto"/>
        </w:rPr>
        <w:t>t”), I, Simon Irish,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80" w:firstLine="8"/>
        <w:spacing w:after="0" w:line="282" w:lineRule="auto"/>
        <w:tabs>
          <w:tab w:leader="none" w:pos="3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Simon Irish</w:t>
            </w:r>
          </w:p>
        </w:tc>
      </w:tr>
      <w:tr>
        <w:trPr>
          <w:trHeight w:val="191"/>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Simon Irish</w:t>
            </w:r>
          </w:p>
        </w:tc>
      </w:tr>
      <w:tr>
        <w:trPr>
          <w:trHeight w:val="214"/>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7"/>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Terrestrial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quarterly period ended March 31, 2026, as filed with the Securities and Exchange Commission on the date hereof (the “</w:t>
      </w:r>
      <w:r>
        <w:rPr>
          <w:rFonts w:ascii="Times New Roman" w:cs="Times New Roman" w:eastAsia="Times New Roman" w:hAnsi="Times New Roman"/>
          <w:sz w:val="18"/>
          <w:szCs w:val="18"/>
          <w:b w:val="1"/>
          <w:bCs w:val="1"/>
          <w:color w:val="auto"/>
        </w:rPr>
        <w:t>Repor</w:t>
      </w:r>
      <w:r>
        <w:rPr>
          <w:rFonts w:ascii="Times New Roman" w:cs="Times New Roman" w:eastAsia="Times New Roman" w:hAnsi="Times New Roman"/>
          <w:sz w:val="18"/>
          <w:szCs w:val="18"/>
          <w:color w:val="auto"/>
        </w:rPr>
        <w:t>t”), I, Brian Thrasher,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80" w:firstLine="8"/>
        <w:spacing w:after="0" w:line="282" w:lineRule="auto"/>
        <w:tabs>
          <w:tab w:leader="none" w:pos="3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Brian Thrasher</w:t>
            </w:r>
          </w:p>
        </w:tc>
      </w:tr>
      <w:tr>
        <w:trPr>
          <w:trHeight w:val="191"/>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Thrasher</w:t>
            </w:r>
          </w:p>
        </w:tc>
      </w:tr>
      <w:tr>
        <w:trPr>
          <w:trHeight w:val="214"/>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lowerRoman"/>
      <w:start w:val="2"/>
    </w:lvl>
  </w:abstractNum>
  <w:abstractNum w:abstractNumId="5">
    <w:nsid w:val="2CA88611"/>
    <w:multiLevelType w:val="hybridMultilevel"/>
    <w:lvl w:ilvl="0">
      <w:lvlJc w:val="left"/>
      <w:lvlText w:val="%1."/>
      <w:numFmt w:val="decimal"/>
      <w:start w:val="5"/>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lowerLetter"/>
      <w:start w:val="1"/>
    </w:lvl>
    <w:lvl w:ilvl="1">
      <w:lvlJc w:val="left"/>
      <w:lvlText w:val="(%2)"/>
      <w:numFmt w:val="lowerRoman"/>
      <w:start w:val="1"/>
    </w:lvl>
  </w:abstractNum>
  <w:abstractNum w:abstractNumId="19">
    <w:nsid w:val="5577F8E1"/>
    <w:multiLevelType w:val="hybridMultilevel"/>
    <w:lvl w:ilvl="0">
      <w:lvlJc w:val="left"/>
      <w:lvlText w:val="%1"/>
      <w:numFmt w:val="decimal"/>
      <w:start w:val="1"/>
    </w:lvl>
    <w:lvl w:ilvl="1">
      <w:lvlJc w:val="left"/>
      <w:lvlText w:val="(%2)"/>
      <w:numFmt w:val="decimal"/>
      <w:start w:val="9"/>
    </w:lvl>
  </w:abstractNum>
  <w:abstractNum w:abstractNumId="20">
    <w:nsid w:val="440BADFC"/>
    <w:multiLevelType w:val="hybridMultilevel"/>
    <w:lvl w:ilvl="0">
      <w:lvlJc w:val="left"/>
      <w:lvlText w:val="%1."/>
      <w:numFmt w:val="decimal"/>
      <w:start w:val="3"/>
    </w:lvl>
    <w:lvl w:ilvl="1">
      <w:lvlJc w:val="left"/>
      <w:lvlText w:val="%2"/>
      <w:numFmt w:val="decimal"/>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6"/>
    </w:lvl>
  </w:abstractNum>
  <w:abstractNum w:abstractNumId="24">
    <w:nsid w:val="7724C67E"/>
    <w:multiLevelType w:val="hybridMultilevel"/>
    <w:lvl w:ilvl="0">
      <w:lvlJc w:val="left"/>
      <w:lvlText w:val="%1."/>
      <w:numFmt w:val="decimal"/>
      <w:start w:val="7"/>
    </w:lvl>
  </w:abstractNum>
  <w:abstractNum w:abstractNumId="25">
    <w:nsid w:val="5C482A97"/>
    <w:multiLevelType w:val="hybridMultilevel"/>
    <w:lvl w:ilvl="0">
      <w:lvlJc w:val="left"/>
      <w:lvlText w:val="%1."/>
      <w:numFmt w:val="decimal"/>
      <w:start w:val="9"/>
    </w:lvl>
  </w:abstractNum>
  <w:abstractNum w:abstractNumId="26">
    <w:nsid w:val="2463B9EA"/>
    <w:multiLevelType w:val="hybridMultilevel"/>
    <w:lvl w:ilvl="0">
      <w:lvlJc w:val="left"/>
      <w:lvlText w:val="%1."/>
      <w:numFmt w:val="decimal"/>
      <w:start w:val="10"/>
    </w:lvl>
  </w:abstractNum>
  <w:abstractNum w:abstractNumId="27">
    <w:nsid w:val="5E884ADC"/>
    <w:multiLevelType w:val="hybridMultilevel"/>
    <w:lvl w:ilvl="0">
      <w:lvlJc w:val="left"/>
      <w:lvlText w:val="%1."/>
      <w:numFmt w:val="decimal"/>
      <w:start w:val="15"/>
    </w:lvl>
  </w:abstractNum>
  <w:abstractNum w:abstractNumId="28">
    <w:nsid w:val="51EAD36B"/>
    <w:multiLevelType w:val="hybridMultilevel"/>
    <w:lvl w:ilvl="0">
      <w:lvlJc w:val="left"/>
      <w:lvlText w:val="%1."/>
      <w:numFmt w:val="decimal"/>
      <w:start w:val="25"/>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6"/>
    </w:lvl>
  </w:abstractNum>
  <w:abstractNum w:abstractNumId="32">
    <w:nsid w:val="3855585C"/>
    <w:multiLevelType w:val="hybridMultilevel"/>
    <w:lvl w:ilvl="0">
      <w:lvlJc w:val="left"/>
      <w:lvlText w:val="%1."/>
      <w:numFmt w:val="decimal"/>
      <w:start w:val="7"/>
    </w:lvl>
  </w:abstractNum>
  <w:abstractNum w:abstractNumId="33">
    <w:nsid w:val="70A64E2A"/>
    <w:multiLevelType w:val="hybridMultilevel"/>
    <w:lvl w:ilvl="0">
      <w:lvlJc w:val="left"/>
      <w:lvlText w:val="%1."/>
      <w:numFmt w:val="decimal"/>
      <w:start w:val="10"/>
    </w:lvl>
  </w:abstractNum>
  <w:abstractNum w:abstractNumId="34">
    <w:nsid w:val="6A2342EC"/>
    <w:multiLevelType w:val="hybridMultilevel"/>
    <w:lvl w:ilvl="0">
      <w:lvlJc w:val="left"/>
      <w:lvlText w:val="%1."/>
      <w:numFmt w:val="decimal"/>
      <w:start w:val="16"/>
    </w:lvl>
  </w:abstractNum>
  <w:abstractNum w:abstractNumId="35">
    <w:nsid w:val="2A487CB0"/>
    <w:multiLevelType w:val="hybridMultilevel"/>
    <w:lvl w:ilvl="0">
      <w:lvlJc w:val="left"/>
      <w:lvlText w:val="%1."/>
      <w:numFmt w:val="decimal"/>
      <w:start w:val="25"/>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decimal"/>
      <w:start w:val="1"/>
    </w:lvl>
    <w:lvl w:ilvl="1">
      <w:lvlJc w:val="left"/>
      <w:lvlText w:val="(%2)"/>
      <w:numFmt w:val="lowerLetter"/>
      <w:start w:val="9"/>
    </w:lvl>
  </w:abstractNum>
  <w:abstractNum w:abstractNumId="39">
    <w:nsid w:val="57E4CCAF"/>
    <w:multiLevelType w:val="hybridMultilevel"/>
    <w:lvl w:ilvl="0">
      <w:lvlJc w:val="left"/>
      <w:lvlText w:val="%1."/>
      <w:numFmt w:val="decimal"/>
      <w:start w:val="2"/>
    </w:lvl>
    <w:lvl w:ilvl="1">
      <w:lvlJc w:val="left"/>
      <w:lvlText w:val="(%2)"/>
      <w:numFmt w:val="lowerLetter"/>
      <w:start w:val="1"/>
    </w:lvl>
  </w:abstractNum>
  <w:abstractNum w:abstractNumId="40">
    <w:nsid w:val="7A6D8D3C"/>
    <w:multiLevelType w:val="hybridMultilevel"/>
    <w:lvl w:ilvl="0">
      <w:lvlJc w:val="left"/>
      <w:lvlText w:val="%1"/>
      <w:numFmt w:val="decimal"/>
      <w:start w:val="1"/>
    </w:lvl>
    <w:lvl w:ilvl="1">
      <w:lvlJc w:val="left"/>
      <w:lvlText w:val="(%2)"/>
      <w:numFmt w:val="lowerLetter"/>
      <w:start w:val="4"/>
    </w:lvl>
  </w:abstractNum>
  <w:abstractNum w:abstractNumId="41">
    <w:nsid w:val="4B588F54"/>
    <w:multiLevelType w:val="hybridMultilevel"/>
    <w:lvl w:ilvl="0">
      <w:lvlJc w:val="left"/>
      <w:lvlText w:val="%1."/>
      <w:numFmt w:val="decimal"/>
      <w:start w:val="4"/>
    </w:lvl>
    <w:lvl w:ilvl="1">
      <w:lvlJc w:val="left"/>
      <w:lvlText w:val="(%2)"/>
      <w:numFmt w:val="lowerLetter"/>
      <w:start w:val="1"/>
    </w:lvl>
  </w:abstractNum>
  <w:abstractNum w:abstractNumId="42">
    <w:nsid w:val="542289EC"/>
    <w:multiLevelType w:val="hybridMultilevel"/>
    <w:lvl w:ilvl="0">
      <w:lvlJc w:val="left"/>
      <w:lvlText w:val="%1."/>
      <w:numFmt w:val="decimal"/>
      <w:start w:val="12"/>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2"/>
    </w:lvl>
  </w:abstractNum>
  <w:abstractNum w:abstractNumId="44">
    <w:nsid w:val="38437FDB"/>
    <w:multiLevelType w:val="hybridMultilevel"/>
    <w:lvl w:ilvl="0">
      <w:lvlJc w:val="left"/>
      <w:lvlText w:val="%1."/>
      <w:numFmt w:val="decimal"/>
      <w:start w:val="22"/>
    </w:lvl>
    <w:lvl w:ilvl="1">
      <w:lvlJc w:val="left"/>
      <w:lvlText w:val="%2"/>
      <w:numFmt w:val="lowerLetter"/>
      <w:start w:val="1"/>
    </w:lvl>
  </w:abstractNum>
  <w:abstractNum w:abstractNumId="45">
    <w:nsid w:val="7644A45C"/>
    <w:multiLevelType w:val="hybridMultilevel"/>
    <w:lvl w:ilvl="0">
      <w:lvlJc w:val="left"/>
      <w:lvlText w:val="%1."/>
      <w:numFmt w:val="decimal"/>
      <w:start w:val="28"/>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42" Type="http://schemas.openxmlformats.org/officeDocument/2006/relationships/hyperlink" Target="https://www.sec.gov/Archives/edgar/data/2019804/000110465926036846/tmb-20251231xex3d1.htm" TargetMode="External"/><Relationship Id="rId43" Type="http://schemas.openxmlformats.org/officeDocument/2006/relationships/hyperlink" Target="https://www.sec.gov/Archives/edgar/data/2019804/000110465926036846/tmb-20251231xex3d2.htm" TargetMode="External"/><Relationship Id="rId44" Type="http://schemas.openxmlformats.org/officeDocument/2006/relationships/hyperlink" Target="https://www.sec.gov/Archives/edgar/data/2019804/000110465926036846/tmb-20251231xex3d3.htm" TargetMode="External"/><Relationship Id="rId45" Type="http://schemas.openxmlformats.org/officeDocument/2006/relationships/hyperlink" Target="https://www.sec.gov/Archives/edgar/data/2019804/000110465926036846/tmb-20251231xex10d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2026-05-14T15:53:47Z</dcterms:created>
  <dcterms:modified xsi:type="dcterms:W3CDTF">2026-05-14T15:53:47Z</dcterms:modified>
</cp:coreProperties>
</file>