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sz w:val="20"/>
        </w:rPr>
      </w:pPr>
      <w:bookmarkStart w:id="0" w:name="tmb-20260814x424b3.htm"/>
      <w:bookmarkStart w:id="1" w:name="kstmb20260814x424b3"/>
      <w:bookmarkEnd w:id="0"/>
      <w:bookmarkEnd w:id="1"/>
      <w:r>
        <w:rPr>
          <w:rFonts w:ascii="Times New Roman;Times;serif" w:hAnsi="Times New Roman;Times;serif"/>
          <w:b/>
          <w:sz w:val="20"/>
        </w:rPr>
        <w:t>Filed Pursuant to Rule 424(b)(3)</w:t>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Registration No. 333-291796</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PROSPECTUS SUPPLEMENT No. 3</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(to Prospectus dated December 30,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SUPPLEMENT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PROSPECTUS FOR PRIMARY OFFERING OF UP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53,492,818 SHARES OF COMMON STOCK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SECONDARY OFFERING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13,723,445 SHARES OF COMMON STOCK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1,267,599 WARRANTS TO PURCHASE SHARES OF COMMON STOCK</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OF</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Supplement No. 3 (this “Supplement No. 3”) updates, amends and supplements the prospectus dated December 30, 2025 (as supplemented or amended from time to time, the “Prospectus”), which forms a part of our Registration Statement on Form S-1 (Registration No. 333-291796, the “Form S-1”). Capitalized terms used in this prospectus supplement and not otherwise defined herein have the meanings specified in the Prospectus.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Supplement No. 3 is being filed to update, amend and supplement the information included in the Prospectus with information contained in our Quarterly Report on Form 10-Q filed with the SEC on August 11, 2026, which is set forth below. To the extent information in this Supplement No. 3 differs from, updates or conflicts with information contained in the Prospectus, the information in this Supplement No. 3 is the more current information. This Supplement No. 3 is not complete without the Prospectus. This Supplement No. 3 should be read in conjunction with the Prospectus, which is to be delivered with this Supplement No. 3, and is qualified by reference thereto, except to the extent that the information in this Supplement No. 3 updates or supersedes the information contained in the Prospectus. Please keep this prospectus supplement with the Prospectus for future reference.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Rule 429 under the Securities Act of 1933, as amended, the Prospectus included herein is a combined prospectus that relates to (i) the Registration Statement on Form S-4 (Registration No. 333-288735) filed on July 17, 2025, which was subsequently amended on August 15, 2025, September 4, 2025, September 16, 2025, and September 23, 2025, and declared effective by the SEC on September 26, 2025 (the “Prior Registration Statement”) and (ii) the Form S-1. This Supplement also constitutes a supplement to the Prior Registration Statement.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Investing in our securities involves a high degree of risk. See “Risk Factors” beginning on page 12 of the Prospectus.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NEITHER THE SECURITIES AND EXCHANGE COMMISSION NOR ANY STATE SECURITIES REGULATORY AGENCY HAS APPROVED OR DISAPPROVED OF THE SECURITIES DESCRIBED IN THE PROSPECTUS OR THIS PROSPECTUS SUPPLEMENT OR PASSED UPON THE ADEQUACY OR ACCURACY OF THE DISCLOSURE IN THE PROSPECTUS OR THIS PROSPECTUS SUPPLEMENT. ANY REPRESENTATION TO THE CONTRARY CONSTITUTES A CRIMINAL OFFENSE.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date of this prospectus supplement is August 11, 2026.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230" w:right="0" w:hanging="0"/>
        <w:jc w:val="left"/>
        <w:rPr>
          <w:rFonts w:ascii="Times New Roman;Times;serif" w:hAnsi="Times New Roman;Times;serif"/>
          <w:b/>
          <w:sz w:val="16"/>
        </w:rPr>
      </w:pPr>
      <w:r>
        <w:rPr>
          <w:rFonts w:ascii="Times New Roman;Times;serif" w:hAnsi="Times New Roman;Times;serif"/>
          <w:b/>
          <w:sz w:val="16"/>
        </w:rPr>
        <w:t>(Mark One)</w:t>
      </w:r>
    </w:p>
    <w:p>
      <w:pPr>
        <w:pStyle w:val="TextBody"/>
        <w:bidi w:val="0"/>
        <w:spacing w:before="0" w:after="0"/>
        <w:ind w:left="0" w:right="0" w:hanging="0"/>
        <w:jc w:val="left"/>
        <w:rPr/>
      </w:pPr>
      <w:r>
        <w:rPr>
          <w:caps w:val="false"/>
          <w:smallCaps w:val="false"/>
        </w:rPr>
        <w:t>☒</w:t>
      </w:r>
      <w:r>
        <w:rPr>
          <w:rFonts w:ascii="Times New Roman;Times;serif" w:hAnsi="Times New Roman;Times;serif"/>
          <w:b/>
          <w:sz w:val="20"/>
        </w:rPr>
        <w:t>QUARTERLY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June 30, 2026</w:t>
      </w:r>
    </w:p>
    <w:p>
      <w:pPr>
        <w:pStyle w:val="TextBody"/>
        <w:bidi w:val="0"/>
        <w:spacing w:before="0" w:after="6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100"/>
        <w:ind w:left="0" w:right="0" w:hanging="0"/>
        <w:jc w:val="left"/>
        <w:rPr/>
      </w:pPr>
      <w:r>
        <w:rPr>
          <w:caps w:val="false"/>
          <w:smallCaps w:val="false"/>
        </w:rPr>
        <w:t>☐</w:t>
      </w:r>
      <w:r>
        <w:rPr>
          <w:rFonts w:ascii="Times New Roman;Times;serif" w:hAnsi="Times New Roman;Times;serif"/>
          <w:b/>
          <w:sz w:val="20"/>
        </w:rPr>
        <w:t>TRANSITION REPORT PURSUANT TO SECTION 13 OR 15(d) OF THE SECURITIES</w:t>
      </w:r>
    </w:p>
    <w:p>
      <w:pPr>
        <w:pStyle w:val="TextBody"/>
        <w:bidi w:val="0"/>
        <w:spacing w:before="0" w:after="100"/>
        <w:ind w:left="0" w:right="0" w:hanging="0"/>
        <w:jc w:val="center"/>
        <w:rPr>
          <w:rFonts w:ascii="Times New Roman;Times;serif" w:hAnsi="Times New Roman;Times;serif"/>
          <w:b/>
          <w:sz w:val="20"/>
        </w:rPr>
      </w:pPr>
      <w:r>
        <w:rPr>
          <w:rFonts w:ascii="Times New Roman;Times;serif" w:hAnsi="Times New Roman;Times;serif"/>
          <w:b/>
          <w:sz w:val="20"/>
        </w:rPr>
        <w:t>EXCHANGE ACT OF 1934</w:t>
      </w:r>
    </w:p>
    <w:p>
      <w:pPr>
        <w:pStyle w:val="TextBody"/>
        <w:bidi w:val="0"/>
        <w:spacing w:before="0" w:after="100"/>
        <w:ind w:left="0" w:right="0" w:hanging="0"/>
        <w:jc w:val="center"/>
        <w:rPr>
          <w:rFonts w:ascii="Times New Roman;Times;serif" w:hAnsi="Times New Roman;Times;serif"/>
          <w:sz w:val="16"/>
        </w:rPr>
      </w:pPr>
      <w:r>
        <w:rPr>
          <w:rFonts w:ascii="Times New Roman;Times;serif" w:hAnsi="Times New Roman;Times;serif"/>
          <w:b/>
          <w:sz w:val="16"/>
        </w:rPr>
        <w:t xml:space="preserve">For the transition period from </w:t>
      </w:r>
      <w:r>
        <w:rPr>
          <w:rFonts w:ascii="Times New Roman;Times;serif" w:hAnsi="Times New Roman;Times;serif"/>
          <w:sz w:val="16"/>
        </w:rPr>
        <w:t xml:space="preserve">                    </w:t>
      </w:r>
      <w:r>
        <w:rPr>
          <w:rFonts w:ascii="Times New Roman;Times;serif" w:hAnsi="Times New Roman;Times;serif"/>
          <w:b/>
          <w:sz w:val="16"/>
        </w:rPr>
        <w:t xml:space="preserve">to </w:t>
      </w:r>
      <w:r>
        <w:rPr>
          <w:rFonts w:ascii="Times New Roman;Times;serif" w:hAnsi="Times New Roman;Times;serif"/>
          <w:sz w:val="16"/>
        </w:rPr>
        <w:t>                   </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001-42252</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TERRESTRIAL ENERGY INC.</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HorizontalLine"/>
        <w:pBdr>
          <w:bottom w:val="single" w:sz="6" w:space="0" w:color="000000"/>
        </w:pBdr>
        <w:bidi w:val="0"/>
        <w:spacing w:before="0" w:after="0"/>
        <w:ind w:left="3827" w:right="3827" w:hanging="0"/>
        <w:jc w:val="left"/>
        <w:rPr/>
      </w:pPr>
      <w:r>
        <w:rPr/>
      </w:r>
    </w:p>
    <w:p>
      <w:pPr>
        <w:pStyle w:val="TextBody"/>
        <w:bidi w:val="0"/>
        <w:spacing w:before="0" w:after="0"/>
        <w:ind w:left="0" w:right="0" w:hanging="0"/>
        <w:jc w:val="left"/>
        <w:rPr/>
      </w:pPr>
      <w:r>
        <w:rPr/>
        <w:t>​</w:t>
      </w:r>
    </w:p>
    <w:tbl>
      <w:tblPr>
        <w:tblW w:w="3047" w:type="dxa"/>
        <w:jc w:val="center"/>
        <w:tblInd w:w="0" w:type="dxa"/>
        <w:tblLayout w:type="fixed"/>
        <w:tblCellMar>
          <w:top w:w="0" w:type="dxa"/>
          <w:left w:w="0" w:type="dxa"/>
          <w:bottom w:w="0" w:type="dxa"/>
          <w:right w:w="0" w:type="dxa"/>
        </w:tblCellMar>
      </w:tblPr>
      <w:tblGrid>
        <w:gridCol w:w="1696"/>
        <w:gridCol w:w="1351"/>
      </w:tblGrid>
      <w:tr>
        <w:trPr/>
        <w:tc>
          <w:tcPr>
            <w:tcW w:w="1696" w:type="dxa"/>
            <w:tcBorders/>
            <w:vAlign w:val="center"/>
          </w:tcPr>
          <w:p>
            <w:pPr>
              <w:pStyle w:val="TableContents"/>
              <w:bidi w:val="0"/>
              <w:spacing w:before="0" w:after="0"/>
              <w:ind w:left="0" w:right="0" w:hanging="0"/>
              <w:jc w:val="left"/>
              <w:rPr/>
            </w:pPr>
            <w:r>
              <w:rPr/>
              <w:t>​</w:t>
            </w:r>
          </w:p>
        </w:tc>
        <w:tc>
          <w:tcPr>
            <w:tcW w:w="1351" w:type="dxa"/>
            <w:tcBorders/>
            <w:vAlign w:val="center"/>
          </w:tcPr>
          <w:p>
            <w:pPr>
              <w:pStyle w:val="TableContents"/>
              <w:bidi w:val="0"/>
              <w:spacing w:before="0" w:after="0"/>
              <w:ind w:left="0" w:right="0" w:hanging="0"/>
              <w:jc w:val="left"/>
              <w:rPr/>
            </w:pPr>
            <w:r>
              <w:rPr/>
              <w:t>​</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98-1785406</w:t>
            </w:r>
          </w:p>
        </w:tc>
      </w:tr>
      <w:tr>
        <w:trPr/>
        <w:tc>
          <w:tcPr>
            <w:tcW w:w="16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(State or other jurisdiction of</w:t>
              <w:br/>
              <w:t>incorporation or organization)</w:t>
            </w:r>
          </w:p>
        </w:tc>
        <w:tc>
          <w:tcPr>
            <w:tcW w:w="135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(I.R.S. Employer</w:t>
              <w:b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2730 W. Tyvola Road</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Suite 100</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Charlotte, NC 28217</w:t>
      </w:r>
    </w:p>
    <w:p>
      <w:pPr>
        <w:pStyle w:val="TextBody"/>
        <w:bidi w:val="0"/>
        <w:spacing w:before="0" w:after="100"/>
        <w:ind w:left="0" w:right="0" w:hanging="0"/>
        <w:jc w:val="center"/>
        <w:rPr>
          <w:rFonts w:ascii="Times New Roman;Times;serif" w:hAnsi="Times New Roman;Times;serif"/>
          <w:b/>
          <w:sz w:val="12"/>
        </w:rPr>
      </w:pPr>
      <w:r>
        <w:rPr>
          <w:rFonts w:ascii="Times New Roman;Times;serif" w:hAnsi="Times New Roman;Times;serif"/>
          <w:b/>
          <w:sz w:val="12"/>
        </w:rPr>
        <w:t>(Address of Principal Executive Offices)</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(646) 687-8212</w:t>
      </w:r>
    </w:p>
    <w:p>
      <w:pPr>
        <w:pStyle w:val="TextBody"/>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(Registrant’s telephone number)</w:t>
      </w:r>
    </w:p>
    <w:p>
      <w:pPr>
        <w:pStyle w:val="HorizontalLine"/>
        <w:pBdr>
          <w:bottom w:val="single" w:sz="6" w:space="0" w:color="000000"/>
        </w:pBdr>
        <w:bidi w:val="0"/>
        <w:spacing w:before="0" w:after="120"/>
        <w:ind w:left="3827" w:right="3827" w:hanging="0"/>
        <w:jc w:val="left"/>
        <w:rPr/>
      </w:pPr>
      <w:r>
        <w:rPr/>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6456"/>
        <w:gridCol w:w="1147"/>
        <w:gridCol w:w="2602"/>
      </w:tblGrid>
      <w:tr>
        <w:trPr/>
        <w:tc>
          <w:tcPr>
            <w:tcW w:w="64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1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 symbol</w:t>
            </w:r>
          </w:p>
        </w:tc>
        <w:tc>
          <w:tcPr>
            <w:tcW w:w="2602"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Exchange on which registered</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$0.0001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64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Redeemable Warrants, each whole warrant exercisable for one Common Stock at a price of $11.50 per share</w:t>
            </w:r>
          </w:p>
        </w:tc>
        <w:tc>
          <w:tcPr>
            <w:tcW w:w="1147"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IMSRW</w:t>
            </w:r>
          </w:p>
        </w:tc>
        <w:tc>
          <w:tcPr>
            <w:tcW w:w="2602"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w:t>
      </w:r>
    </w:p>
    <w:tbl>
      <w:tblPr>
        <w:tblW w:w="6726" w:type="dxa"/>
        <w:jc w:val="center"/>
        <w:tblInd w:w="0" w:type="dxa"/>
        <w:tblLayout w:type="fixed"/>
        <w:tblCellMar>
          <w:top w:w="0" w:type="dxa"/>
          <w:left w:w="0" w:type="dxa"/>
          <w:bottom w:w="0" w:type="dxa"/>
          <w:right w:w="0" w:type="dxa"/>
        </w:tblCellMar>
      </w:tblPr>
      <w:tblGrid>
        <w:gridCol w:w="1666"/>
        <w:gridCol w:w="316"/>
        <w:gridCol w:w="2026"/>
        <w:gridCol w:w="316"/>
        <w:gridCol w:w="2041"/>
        <w:gridCol w:w="361"/>
      </w:tblGrid>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Accelerated filer</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166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Smaller reporting company</w:t>
            </w:r>
          </w:p>
        </w:tc>
        <w:tc>
          <w:tcPr>
            <w:tcW w:w="316" w:type="dxa"/>
            <w:tcBorders/>
            <w:vAlign w:val="center"/>
          </w:tcPr>
          <w:p>
            <w:pPr>
              <w:pStyle w:val="TableContents"/>
              <w:bidi w:val="0"/>
              <w:spacing w:before="0" w:after="0"/>
              <w:ind w:left="0" w:right="0" w:hanging="0"/>
              <w:jc w:val="left"/>
              <w:rPr/>
            </w:pPr>
            <w:r>
              <w:rPr/>
              <w:t>☒</w:t>
            </w:r>
          </w:p>
        </w:tc>
        <w:tc>
          <w:tcPr>
            <w:tcW w:w="2041"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Emerging growth company</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shell company (as defined in Rule 12b-2 of the Exchange Act).   Yes  ☐    No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11, 2026, there were 105,935,254 of the registrant’s ordinary shares outstanding.</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TABLE OF CONTENTS</w:t>
      </w:r>
      <w:bookmarkStart w:id="2" w:name="TOC"/>
      <w:bookmarkEnd w:id="2"/>
    </w:p>
    <w:tbl>
      <w:tblPr>
        <w:tblW w:w="10205" w:type="dxa"/>
        <w:jc w:val="left"/>
        <w:tblInd w:w="0" w:type="dxa"/>
        <w:tblLayout w:type="fixed"/>
        <w:tblCellMar>
          <w:top w:w="0" w:type="dxa"/>
          <w:left w:w="0" w:type="dxa"/>
          <w:bottom w:w="0" w:type="dxa"/>
          <w:right w:w="0" w:type="dxa"/>
        </w:tblCellMar>
      </w:tblPr>
      <w:tblGrid>
        <w:gridCol w:w="1151"/>
        <w:gridCol w:w="8482"/>
        <w:gridCol w:w="572"/>
      </w:tblGrid>
      <w:tr>
        <w:trPr/>
        <w:tc>
          <w:tcPr>
            <w:tcW w:w="11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730885" cy="175260"/>
                      <wp:effectExtent l="0" t="0" r="0" b="0"/>
                      <wp:wrapNone/>
                      <wp:docPr id="1" name="Frame1"/>
                      <a:graphic xmlns:a="http://schemas.openxmlformats.org/drawingml/2006/main">
                        <a:graphicData uri="http://schemas.microsoft.com/office/word/2010/wordprocessingShape">
                          <wps:wsp>
                            <wps:cNvSpPr txBox="1"/>
                            <wps:spPr>
                              <a:xfrm>
                                <a:off x="0" y="0"/>
                                <a:ext cx="730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386070" cy="175260"/>
                      <wp:effectExtent l="0" t="0" r="0" b="0"/>
                      <wp:wrapNone/>
                      <wp:docPr id="2" name="Frame2"/>
                      <a:graphic xmlns:a="http://schemas.openxmlformats.org/drawingml/2006/main">
                        <a:graphicData uri="http://schemas.microsoft.com/office/word/2010/wordprocessingShape">
                          <wps:wsp>
                            <wps:cNvSpPr txBox="1"/>
                            <wps:spPr>
                              <a:xfrm>
                                <a:off x="0" y="0"/>
                                <a:ext cx="5386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3220" cy="175260"/>
                      <wp:effectExtent l="0" t="0" r="0" b="0"/>
                      <wp:wrapNone/>
                      <wp:docPr id="3" name="Frame3"/>
                      <a:graphic xmlns:a="http://schemas.openxmlformats.org/drawingml/2006/main">
                        <a:graphicData uri="http://schemas.microsoft.com/office/word/2010/wordprocessingShape">
                          <wps:wsp>
                            <wps:cNvSpPr txBox="1"/>
                            <wps:spPr>
                              <a:xfrm>
                                <a:off x="0" y="0"/>
                                <a:ext cx="3632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Cautionary Note Regarding Forward-Looking Statements</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Part I</w:t>
              </w:r>
            </w:hyperlink>
          </w:p>
        </w:tc>
        <w:tc>
          <w:tcPr>
            <w:tcW w:w="8482" w:type="dxa"/>
            <w:tcBorders/>
            <w:vAlign w:val="center"/>
          </w:tcPr>
          <w:p>
            <w:pPr>
              <w:pStyle w:val="TableContents"/>
              <w:bidi w:val="0"/>
              <w:spacing w:before="0" w:after="0"/>
              <w:ind w:left="0" w:right="0" w:hanging="0"/>
              <w:jc w:val="left"/>
              <w:rPr/>
            </w:pPr>
            <w:hyperlink w:anchor="PARTIFINANCIALINFORMATION_395275">
              <w:r>
                <w:rPr>
                  <w:rStyle w:val="InternetLink"/>
                  <w:rFonts w:ascii="Times New Roman;Times;serif" w:hAnsi="Times New Roman;Times;serif"/>
                  <w:b/>
                  <w:i w:val="false"/>
                  <w:caps w:val="false"/>
                  <w:smallCaps w:val="false"/>
                  <w:sz w:val="20"/>
                </w:rPr>
                <w:t>Financial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left"/>
              <w:rPr/>
            </w:pPr>
            <w:r>
              <w:rPr/>
              <w:t>​</w:t>
            </w:r>
          </w:p>
        </w:tc>
      </w:tr>
      <w:tr>
        <w:trPr/>
        <w:tc>
          <w:tcPr>
            <w:tcW w:w="1151"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Item 1.</w:t>
              </w:r>
            </w:hyperlink>
          </w:p>
        </w:tc>
        <w:tc>
          <w:tcPr>
            <w:tcW w:w="8482" w:type="dxa"/>
            <w:tcBorders/>
            <w:vAlign w:val="center"/>
          </w:tcPr>
          <w:p>
            <w:pPr>
              <w:pStyle w:val="TableContents"/>
              <w:bidi w:val="0"/>
              <w:spacing w:before="0" w:after="0"/>
              <w:ind w:left="0" w:right="0" w:hanging="0"/>
              <w:jc w:val="left"/>
              <w:rPr/>
            </w:pPr>
            <w:hyperlink w:anchor="Item1FinancialStatements_866050">
              <w:r>
                <w:rPr>
                  <w:rStyle w:val="InternetLink"/>
                  <w:rFonts w:ascii="Times New Roman;Times;serif" w:hAnsi="Times New Roman;Times;serif"/>
                  <w:b w:val="false"/>
                  <w:i w:val="false"/>
                  <w:caps w:val="false"/>
                  <w:smallCaps w:val="false"/>
                  <w:sz w:val="20"/>
                </w:rPr>
                <w:t>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BalanceSheets_37183">
              <w:r>
                <w:rPr>
                  <w:rStyle w:val="InternetLink"/>
                  <w:rFonts w:ascii="Times New Roman;Times;serif" w:hAnsi="Times New Roman;Times;serif"/>
                  <w:b w:val="false"/>
                  <w:i w:val="false"/>
                  <w:caps w:val="false"/>
                  <w:smallCaps w:val="false"/>
                  <w:sz w:val="20"/>
                </w:rPr>
                <w:t>Condensed Consolidated Balance Sheets as of June 30, 2026 and December 31,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Changes">
              <w:r>
                <w:rPr>
                  <w:rStyle w:val="InternetLink"/>
                  <w:rFonts w:ascii="Times New Roman;Times;serif" w:hAnsi="Times New Roman;Times;serif"/>
                  <w:b w:val="false"/>
                  <w:i w:val="false"/>
                  <w:caps w:val="false"/>
                  <w:smallCaps w:val="false"/>
                  <w:sz w:val="20"/>
                </w:rPr>
                <w:t>Condensed Consolidated Statements of Stockholders’ Equity (Deficit) for the three and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for the six months ended June 30, 2026 and 2025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hyperlink w:anchor="Notes_Start">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8482"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8482"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Item 4.</w:t>
              </w:r>
            </w:hyperlink>
          </w:p>
        </w:tc>
        <w:tc>
          <w:tcPr>
            <w:tcW w:w="8482" w:type="dxa"/>
            <w:tcBorders/>
            <w:vAlign w:val="center"/>
          </w:tcPr>
          <w:p>
            <w:pPr>
              <w:pStyle w:val="TableContents"/>
              <w:bidi w:val="0"/>
              <w:spacing w:before="0" w:after="0"/>
              <w:ind w:left="0" w:right="0" w:hanging="0"/>
              <w:jc w:val="left"/>
              <w:rPr/>
            </w:pPr>
            <w:hyperlink w:anchor="Item4ControlsandProcedures_598182">
              <w:r>
                <w:rPr>
                  <w:rStyle w:val="InternetLink"/>
                  <w:rFonts w:ascii="Times New Roman;Times;serif" w:hAnsi="Times New Roman;Times;serif"/>
                  <w:b w:val="false"/>
                  <w:i w:val="false"/>
                  <w:caps w:val="false"/>
                  <w:smallCaps w:val="false"/>
                  <w:sz w:val="20"/>
                </w:rPr>
                <w:t>Controls and Procedures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Part II</w:t>
              </w:r>
            </w:hyperlink>
          </w:p>
        </w:tc>
        <w:tc>
          <w:tcPr>
            <w:tcW w:w="8482" w:type="dxa"/>
            <w:tcBorders/>
            <w:vAlign w:val="center"/>
          </w:tcPr>
          <w:p>
            <w:pPr>
              <w:pStyle w:val="TableContents"/>
              <w:bidi w:val="0"/>
              <w:spacing w:before="0" w:after="0"/>
              <w:ind w:left="0" w:right="0" w:hanging="0"/>
              <w:jc w:val="left"/>
              <w:rPr/>
            </w:pPr>
            <w:hyperlink w:anchor="PARTIIOTHERINFORMATION_690738">
              <w:r>
                <w:rPr>
                  <w:rStyle w:val="InternetLink"/>
                  <w:rFonts w:ascii="Times New Roman;Times;serif" w:hAnsi="Times New Roman;Times;serif"/>
                  <w:b/>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Item 1.</w:t>
              </w:r>
            </w:hyperlink>
          </w:p>
        </w:tc>
        <w:tc>
          <w:tcPr>
            <w:tcW w:w="8482" w:type="dxa"/>
            <w:tcBorders/>
            <w:vAlign w:val="center"/>
          </w:tcPr>
          <w:p>
            <w:pPr>
              <w:pStyle w:val="TableContents"/>
              <w:bidi w:val="0"/>
              <w:spacing w:before="0" w:after="0"/>
              <w:ind w:left="0" w:right="0" w:hanging="0"/>
              <w:jc w:val="left"/>
              <w:rPr/>
            </w:pPr>
            <w:hyperlink w:anchor="Item1LegalProceedings_371811">
              <w:r>
                <w:rPr>
                  <w:rStyle w:val="InternetLink"/>
                  <w:rFonts w:ascii="Times New Roman;Times;serif" w:hAnsi="Times New Roman;Times;serif"/>
                  <w:b w:val="false"/>
                  <w:i w:val="false"/>
                  <w:caps w:val="false"/>
                  <w:smallCaps w:val="false"/>
                  <w:sz w:val="20"/>
                </w:rPr>
                <w:t>Legal Proceedings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Item 1A.</w:t>
              </w:r>
            </w:hyperlink>
          </w:p>
        </w:tc>
        <w:tc>
          <w:tcPr>
            <w:tcW w:w="8482" w:type="dxa"/>
            <w:tcBorders/>
            <w:vAlign w:val="center"/>
          </w:tcPr>
          <w:p>
            <w:pPr>
              <w:pStyle w:val="TableContents"/>
              <w:bidi w:val="0"/>
              <w:spacing w:before="0" w:after="0"/>
              <w:ind w:left="0" w:right="0" w:hanging="0"/>
              <w:jc w:val="left"/>
              <w:rPr/>
            </w:pPr>
            <w:hyperlink w:anchor="Item1ARiskFactors_559442">
              <w:r>
                <w:rPr>
                  <w:rStyle w:val="InternetLink"/>
                  <w:rFonts w:ascii="Times New Roman;Times;serif" w:hAnsi="Times New Roman;Times;serif"/>
                  <w:b w:val="false"/>
                  <w:i w:val="false"/>
                  <w:caps w:val="false"/>
                  <w:smallCaps w:val="false"/>
                  <w:sz w:val="20"/>
                </w:rPr>
                <w:t>Risk Factors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8482"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Item 3.</w:t>
              </w:r>
            </w:hyperlink>
          </w:p>
        </w:tc>
        <w:tc>
          <w:tcPr>
            <w:tcW w:w="8482" w:type="dxa"/>
            <w:tcBorders/>
            <w:vAlign w:val="center"/>
          </w:tcPr>
          <w:p>
            <w:pPr>
              <w:pStyle w:val="TableContents"/>
              <w:bidi w:val="0"/>
              <w:spacing w:before="0" w:after="0"/>
              <w:ind w:left="0" w:right="0" w:hanging="0"/>
              <w:jc w:val="left"/>
              <w:rPr/>
            </w:pPr>
            <w:hyperlink w:anchor="Item3DefaultsUponSeniorSecurities_814057">
              <w:r>
                <w:rPr>
                  <w:rStyle w:val="InternetLink"/>
                  <w:rFonts w:ascii="Times New Roman;Times;serif" w:hAnsi="Times New Roman;Times;serif"/>
                  <w:b w:val="false"/>
                  <w:i w:val="false"/>
                  <w:caps w:val="false"/>
                  <w:smallCaps w:val="false"/>
                  <w:sz w:val="20"/>
                </w:rPr>
                <w:t>Defaults Upon Senior Securities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Item 4.</w:t>
              </w:r>
            </w:hyperlink>
          </w:p>
        </w:tc>
        <w:tc>
          <w:tcPr>
            <w:tcW w:w="8482" w:type="dxa"/>
            <w:tcBorders/>
            <w:vAlign w:val="center"/>
          </w:tcPr>
          <w:p>
            <w:pPr>
              <w:pStyle w:val="TableContents"/>
              <w:bidi w:val="0"/>
              <w:spacing w:before="0" w:after="0"/>
              <w:ind w:left="0" w:right="0" w:hanging="0"/>
              <w:jc w:val="left"/>
              <w:rPr/>
            </w:pPr>
            <w:hyperlink w:anchor="Item4MineSafetyDisclosures_568459">
              <w:r>
                <w:rPr>
                  <w:rStyle w:val="InternetLink"/>
                  <w:rFonts w:ascii="Times New Roman;Times;serif" w:hAnsi="Times New Roman;Times;serif"/>
                  <w:b w:val="false"/>
                  <w:i w:val="false"/>
                  <w:caps w:val="false"/>
                  <w:smallCaps w:val="false"/>
                  <w:sz w:val="20"/>
                </w:rPr>
                <w:t>Mine Safety Disclosures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Item 5.</w:t>
              </w:r>
            </w:hyperlink>
          </w:p>
        </w:tc>
        <w:tc>
          <w:tcPr>
            <w:tcW w:w="8482" w:type="dxa"/>
            <w:tcBorders/>
            <w:vAlign w:val="center"/>
          </w:tcPr>
          <w:p>
            <w:pPr>
              <w:pStyle w:val="TableContents"/>
              <w:bidi w:val="0"/>
              <w:spacing w:before="0" w:after="0"/>
              <w:ind w:left="0" w:right="0" w:hanging="0"/>
              <w:jc w:val="left"/>
              <w:rPr/>
            </w:pPr>
            <w:hyperlink w:anchor="Item5OtherInformation_644059">
              <w:r>
                <w:rPr>
                  <w:rStyle w:val="InternetLink"/>
                  <w:rFonts w:ascii="Times New Roman;Times;serif" w:hAnsi="Times New Roman;Times;serif"/>
                  <w:b w:val="false"/>
                  <w:i w:val="false"/>
                  <w:caps w:val="false"/>
                  <w:smallCaps w:val="false"/>
                  <w:sz w:val="20"/>
                </w:rPr>
                <w:t>Other Information</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Item 6.</w:t>
              </w:r>
            </w:hyperlink>
          </w:p>
        </w:tc>
        <w:tc>
          <w:tcPr>
            <w:tcW w:w="8482" w:type="dxa"/>
            <w:tcBorders/>
            <w:vAlign w:val="center"/>
          </w:tcPr>
          <w:p>
            <w:pPr>
              <w:pStyle w:val="TableContents"/>
              <w:bidi w:val="0"/>
              <w:spacing w:before="0" w:after="0"/>
              <w:ind w:left="0" w:right="0" w:hanging="0"/>
              <w:jc w:val="left"/>
              <w:rPr/>
            </w:pPr>
            <w:hyperlink w:anchor="Item6Exhibits_92354">
              <w:r>
                <w:rPr>
                  <w:rStyle w:val="InternetLink"/>
                  <w:rFonts w:ascii="Times New Roman;Times;serif" w:hAnsi="Times New Roman;Times;serif"/>
                  <w:b w:val="false"/>
                  <w:i w:val="false"/>
                  <w:caps w:val="false"/>
                  <w:smallCaps w:val="false"/>
                  <w:sz w:val="20"/>
                </w:rPr>
                <w:t>Exhibits</w:t>
              </w:r>
            </w:hyperlink>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EXHIBITINDEX_843050">
              <w:r>
                <w:rPr>
                  <w:rStyle w:val="InternetLink"/>
                  <w:rFonts w:ascii="Times New Roman;Times;serif" w:hAnsi="Times New Roman;Times;serif"/>
                  <w:b w:val="false"/>
                  <w:i w:val="false"/>
                  <w:caps w:val="false"/>
                  <w:smallCaps w:val="false"/>
                  <w:sz w:val="20"/>
                </w:rPr>
                <w:t>Exhibit Index</w:t>
              </w:r>
            </w:hyperlink>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1151" w:type="dxa"/>
            <w:tcBorders/>
            <w:vAlign w:val="center"/>
          </w:tcPr>
          <w:p>
            <w:pPr>
              <w:pStyle w:val="TableContents"/>
              <w:bidi w:val="0"/>
              <w:spacing w:before="0" w:after="0"/>
              <w:ind w:left="0" w:right="0" w:hanging="0"/>
              <w:jc w:val="left"/>
              <w:rPr/>
            </w:pPr>
            <w:r>
              <w:rPr/>
              <w:t>​</w:t>
            </w:r>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pPr>
            <w:r>
              <w:rPr/>
              <w:t>​</w:t>
            </w:r>
          </w:p>
        </w:tc>
      </w:tr>
      <w:tr>
        <w:trPr/>
        <w:tc>
          <w:tcPr>
            <w:tcW w:w="1151" w:type="dxa"/>
            <w:tcBorders/>
            <w:vAlign w:val="center"/>
          </w:tcPr>
          <w:p>
            <w:pPr>
              <w:pStyle w:val="TableContents"/>
              <w:bidi w:val="0"/>
              <w:spacing w:before="0" w:after="0"/>
              <w:ind w:left="0" w:right="0" w:hanging="0"/>
              <w:jc w:val="left"/>
              <w:rPr/>
            </w:pPr>
            <w:hyperlink w:anchor="SIGNATURES_883092">
              <w:r>
                <w:rPr>
                  <w:rStyle w:val="InternetLink"/>
                  <w:rFonts w:ascii="Times New Roman;Times;serif" w:hAnsi="Times New Roman;Times;serif"/>
                  <w:b w:val="false"/>
                  <w:i w:val="false"/>
                  <w:caps w:val="false"/>
                  <w:smallCaps w:val="false"/>
                  <w:sz w:val="20"/>
                </w:rPr>
                <w:t>Signatures</w:t>
              </w:r>
            </w:hyperlink>
          </w:p>
        </w:tc>
        <w:tc>
          <w:tcPr>
            <w:tcW w:w="8482" w:type="dxa"/>
            <w:tcBorders/>
            <w:vAlign w:val="center"/>
          </w:tcPr>
          <w:p>
            <w:pPr>
              <w:pStyle w:val="TableContents"/>
              <w:bidi w:val="0"/>
              <w:spacing w:before="0" w:after="0"/>
              <w:ind w:left="0" w:right="0" w:hanging="0"/>
              <w:jc w:val="left"/>
              <w:rPr/>
            </w:pPr>
            <w:r>
              <w:rPr/>
              <w:t>​</w:t>
            </w:r>
          </w:p>
        </w:tc>
        <w:tc>
          <w:tcPr>
            <w:tcW w:w="5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CAUTIONARY NOTE REGARDING FORWARD-LOOKING STATEMENTS</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(this “Quarterly Report”) of Terrestrial Energy Inc. (“Terrestrial Energy,” the “Company,” “we,” “our,” and “us”) contains certain forward-looking statements within the meaning of Section 27A of the Securities Act of 1933, as amended (the “Securities Act”), and Section 21E of the Securities Exchange Act of 1934, as amended (the “Exchange Act”). Forward-looking statements relate to future events or future performance and include, without limitation, statements concerning our business strategy, future revenues, market growth, capital requirements, product introductions, expansion plans and the adequacy of our funding. Other statements contained in this Quarterly Report that are not historical facts are also forward-looking statements. We have tried, wherever possible, to identify forward-looking statements by terminology such as “may,” “will,” “could,” “should,” “expects,” “anticipates,” “intends,” “plans,” “believes,” “seeks,” “estimates,” “continue,” “might,” “possible,” “potential,” “predict,” “project,” “goal,” “would,” “commit,” and other stylistic variants denoting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caution investors that any forward-looking statements presented in this Quarterly Report, or that we may make orally or in writing from time to time, are based on information currently available, as well as our beliefs and assumptions. The actual outcome related to forward-looking statements will be affected by known and unknown risks, trends, uncertainties, and factors that are beyond our control or ability to predict. Although we believe that our assumptions are reasonable, they are not guarantees of future performance, and some will inevitably prove to be incorrect. As a result, our actual future results can be expected to differ from our expectations, and those differences may be material. Accordingly, investors should use caution in relying on forward-looking statements, which are based only on known results and trends at the time they are made, to anticipate future results or trends.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forward-looking statements contained in this Quarterly Report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w:t>
        <w:br/>
        <w:br/>
        <w:t>The discussion in this Quarterly Report should be read in conjunction with the condensed consolidated financial statements and notes thereto included in Item 1 of this Quarterly Report. Should one or more of these risks or uncertainties materialize, or should any of our assumptions prove incorrect, actual results may vary in material respects from those projected in these forward-looking statements, whether as a result of new information, future events or otherwise, except as may be required under applicable securities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and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after the date of this Quarterly Report, except as may be required by law.</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PART I —FINANCIAL INFORMATION</w:t>
      </w:r>
      <w:bookmarkStart w:id="3" w:name="PARTIFINANCIALINFORMATION_395275"/>
      <w:bookmarkEnd w:id="3"/>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Item 1. Financial Statements</w:t>
      </w:r>
      <w:bookmarkStart w:id="4" w:name="Item1FinancialStatements_866050"/>
      <w:bookmarkEnd w:id="4"/>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bookmarkStart w:id="5" w:name="CondensedConsolidatedBalanceSheets_37183"/>
      <w:bookmarkEnd w:id="5"/>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i/>
          <w:sz w:val="20"/>
        </w:rPr>
        <w:t>(</w:t>
      </w:r>
      <w:r>
        <w:rPr>
          <w:rFonts w:ascii="Times New Roman;Times;serif" w:hAnsi="Times New Roman;Times;serif"/>
          <w:b/>
          <w:i/>
          <w:sz w:val="20"/>
        </w:rPr>
        <w:t>Unaudited)</w:t>
      </w:r>
    </w:p>
    <w:tbl>
      <w:tblPr>
        <w:tblW w:w="10205" w:type="dxa"/>
        <w:jc w:val="left"/>
        <w:tblInd w:w="0" w:type="dxa"/>
        <w:tblLayout w:type="fixed"/>
        <w:tblCellMar>
          <w:top w:w="0" w:type="dxa"/>
          <w:left w:w="0" w:type="dxa"/>
          <w:bottom w:w="0" w:type="dxa"/>
          <w:right w:w="0" w:type="dxa"/>
        </w:tblCellMar>
      </w:tblPr>
      <w:tblGrid>
        <w:gridCol w:w="7054"/>
        <w:gridCol w:w="346"/>
        <w:gridCol w:w="196"/>
        <w:gridCol w:w="779"/>
        <w:gridCol w:w="346"/>
        <w:gridCol w:w="225"/>
        <w:gridCol w:w="867"/>
        <w:gridCol w:w="392"/>
      </w:tblGrid>
      <w:tr>
        <w:trPr/>
        <w:tc>
          <w:tcPr>
            <w:tcW w:w="70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479290" cy="175260"/>
                      <wp:effectExtent l="0" t="0" r="0" b="0"/>
                      <wp:wrapNone/>
                      <wp:docPr id="4" name="Frame4"/>
                      <a:graphic xmlns:a="http://schemas.openxmlformats.org/drawingml/2006/main">
                        <a:graphicData uri="http://schemas.microsoft.com/office/word/2010/wordprocessingShape">
                          <wps:wsp>
                            <wps:cNvSpPr txBox="1"/>
                            <wps:spPr>
                              <a:xfrm>
                                <a:off x="0" y="0"/>
                                <a:ext cx="44792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24460" cy="175260"/>
                      <wp:effectExtent l="0" t="0" r="0" b="0"/>
                      <wp:wrapNone/>
                      <wp:docPr id="6" name="Frame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94665" cy="175260"/>
                      <wp:effectExtent l="0" t="0" r="0" b="0"/>
                      <wp:wrapNone/>
                      <wp:docPr id="7" name="Frame7"/>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42875" cy="175260"/>
                      <wp:effectExtent l="0" t="0" r="0" b="0"/>
                      <wp:wrapNone/>
                      <wp:docPr id="9" name="Frame9"/>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550545" cy="175260"/>
                      <wp:effectExtent l="0" t="0" r="0" b="0"/>
                      <wp:wrapNone/>
                      <wp:docPr id="10" name="Frame10"/>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48920" cy="175260"/>
                      <wp:effectExtent l="0" t="0" r="0" b="0"/>
                      <wp:wrapNone/>
                      <wp:docPr id="11" name="Frame11"/>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7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09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2" w:type="dxa"/>
            <w:tcBorders/>
            <w:vAlign w:val="center"/>
          </w:tcPr>
          <w:p>
            <w:pPr>
              <w:pStyle w:val="TableContents"/>
              <w:bidi w:val="0"/>
              <w:spacing w:before="0" w:after="1"/>
              <w:ind w:left="0" w:right="0" w:hanging="0"/>
              <w:jc w:val="left"/>
              <w:rPr/>
            </w:pPr>
            <w:r>
              <w:rPr/>
              <w:t>  ​ ​ ​</w: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7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0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ASSETS</w:t>
            </w:r>
          </w:p>
        </w:tc>
        <w:tc>
          <w:tcPr>
            <w:tcW w:w="346" w:type="dxa"/>
            <w:tcBorders/>
            <w:shd w:fill="CCEEFF" w:val="clear"/>
            <w:vAlign w:val="center"/>
          </w:tcPr>
          <w:p>
            <w:pPr>
              <w:pStyle w:val="TableContents"/>
              <w:bidi w:val="0"/>
              <w:spacing w:before="0" w:after="1"/>
              <w:ind w:left="0" w:right="0" w:hanging="0"/>
              <w:jc w:val="left"/>
              <w:rPr/>
            </w:pPr>
            <w:r>
              <w:rPr/>
              <w:t> </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  ​</w:t>
            </w:r>
          </w:p>
        </w:tc>
        <w:tc>
          <w:tcPr>
            <w:tcW w:w="392" w:type="dxa"/>
            <w:tcBorders/>
            <w:shd w:fill="CCEEFF" w:val="clear"/>
            <w:vAlign w:val="center"/>
          </w:tcPr>
          <w:p>
            <w:pPr>
              <w:pStyle w:val="TableContents"/>
              <w:bidi w:val="0"/>
              <w:spacing w:before="0" w:after="1"/>
              <w:ind w:left="0" w:right="0" w:hanging="0"/>
              <w:jc w:val="left"/>
              <w:rPr/>
            </w:pPr>
            <w:r>
              <w:rPr/>
              <w:t> </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assets</w:t>
            </w:r>
          </w:p>
        </w:tc>
        <w:tc>
          <w:tcPr>
            <w:tcW w:w="3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  ​</w:t>
            </w:r>
          </w:p>
        </w:tc>
        <w:tc>
          <w:tcPr>
            <w:tcW w:w="392" w:type="dxa"/>
            <w:tcBorders/>
            <w:vAlign w:val="center"/>
          </w:tcPr>
          <w:p>
            <w:pPr>
              <w:pStyle w:val="TableContents"/>
              <w:bidi w:val="0"/>
              <w:spacing w:before="0" w:after="1"/>
              <w:ind w:left="0" w:right="0" w:hanging="0"/>
              <w:jc w:val="left"/>
              <w:rPr/>
            </w:pPr>
            <w:r>
              <w:rPr/>
              <w:t> </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130,737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97,164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142,781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1,274</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1,769</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274,792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299,559</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806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835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688</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708</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Right-of-use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3,595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1,814</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76</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64</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left"/>
              <w:rPr/>
            </w:pPr>
            <w:r>
              <w:rPr/>
              <w:t>​</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LIABILITIES AND STOCKHOLDERS’ EQUITY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pPr>
            <w:r>
              <w:rPr/>
              <w:t>  ​</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Accounts payable and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4,335</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5,501</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1,803</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383</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33</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6,171</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5,917</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Operating lease liabilities, noncurrent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1,601</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Finance lease liabilities, noncurrent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37</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56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liabilities</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8,214</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7,574</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Commitments and Contingencies (Note 11)</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867" w:type="dxa"/>
            <w:tcBorders/>
            <w:shd w:fill="CCEEFF" w:val="clear"/>
            <w:vAlign w:val="center"/>
          </w:tcPr>
          <w:p>
            <w:pPr>
              <w:pStyle w:val="TableContents"/>
              <w:bidi w:val="0"/>
              <w:spacing w:before="0" w:after="1"/>
              <w:ind w:left="0" w:right="0" w:hanging="0"/>
              <w:jc w:val="left"/>
              <w:rPr/>
            </w:pPr>
            <w:r>
              <w:rPr/>
              <w:t>​</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b/>
                <w:i/>
                <w:sz w:val="18"/>
              </w:rPr>
            </w:pPr>
            <w:r>
              <w:rPr>
                <w:rFonts w:ascii="Times New Roman;Times;serif" w:hAnsi="Times New Roman;Times;serif"/>
                <w:b/>
                <w:i/>
                <w:sz w:val="18"/>
              </w:rPr>
              <w:t xml:space="preserve">Stockholders’ Equity </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pPr>
            <w:r>
              <w:rPr/>
              <w:t>  ​</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Common shares, $0.0001 par value; 500,000,000 authorized shares; 82,718,567 and 81,771,422 shares issued and outstanding as of June 30, 2026 and December 31, 2025, respectively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8</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Exchangeable shares, $0.0001 par value; 23,216,687 and 24,011,017 shares issued and outstanding as of June 30, 2026 and December 31, 2025, respectively</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Additional paid-in-capital</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7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424,620</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867"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418,815</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Accumulated deficit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(144,527)</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86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(124,625)</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Accumulated other comprehensive income </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1,551</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1,206</w:t>
            </w:r>
          </w:p>
        </w:tc>
        <w:tc>
          <w:tcPr>
            <w:tcW w:w="392" w:type="dxa"/>
            <w:tcBorders/>
            <w:shd w:fill="CCEEFF" w:val="clear"/>
            <w:vAlign w:val="center"/>
          </w:tcPr>
          <w:p>
            <w:pPr>
              <w:pStyle w:val="TableContents"/>
              <w:bidi w:val="0"/>
              <w:spacing w:before="0" w:after="1"/>
              <w:ind w:left="0" w:right="0" w:hanging="0"/>
              <w:jc w:val="left"/>
              <w:rPr/>
            </w:pPr>
            <w:r>
              <w:rPr/>
              <w:t>​</w:t>
            </w:r>
          </w:p>
        </w:tc>
      </w:tr>
      <w:tr>
        <w:trPr/>
        <w:tc>
          <w:tcPr>
            <w:tcW w:w="7054"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281,654</w:t>
            </w:r>
          </w:p>
        </w:tc>
        <w:tc>
          <w:tcPr>
            <w:tcW w:w="3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295,406</w:t>
            </w:r>
          </w:p>
        </w:tc>
        <w:tc>
          <w:tcPr>
            <w:tcW w:w="392" w:type="dxa"/>
            <w:tcBorders/>
            <w:vAlign w:val="center"/>
          </w:tcPr>
          <w:p>
            <w:pPr>
              <w:pStyle w:val="TableContents"/>
              <w:bidi w:val="0"/>
              <w:spacing w:before="0" w:after="1"/>
              <w:ind w:left="0" w:right="0" w:hanging="0"/>
              <w:jc w:val="left"/>
              <w:rPr/>
            </w:pPr>
            <w:r>
              <w:rPr/>
              <w:t>​</w:t>
            </w:r>
          </w:p>
        </w:tc>
      </w:tr>
      <w:tr>
        <w:trPr/>
        <w:tc>
          <w:tcPr>
            <w:tcW w:w="7054"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liabilities and stockholders’ equity</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289,868</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w:t>
            </w:r>
          </w:p>
        </w:tc>
        <w:tc>
          <w:tcPr>
            <w:tcW w:w="86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302,980</w:t>
            </w:r>
          </w:p>
        </w:tc>
        <w:tc>
          <w:tcPr>
            <w:tcW w:w="392"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 and Comprehensive Loss</w:t>
      </w:r>
      <w:bookmarkStart w:id="6" w:name="CondensedConsolidatedStatementsofOperati"/>
      <w:bookmarkEnd w:id="6"/>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10205" w:type="dxa"/>
        <w:jc w:val="left"/>
        <w:tblInd w:w="0" w:type="dxa"/>
        <w:tblLayout w:type="fixed"/>
        <w:tblCellMar>
          <w:top w:w="0" w:type="dxa"/>
          <w:left w:w="0" w:type="dxa"/>
          <w:bottom w:w="0" w:type="dxa"/>
          <w:right w:w="0" w:type="dxa"/>
        </w:tblCellMar>
      </w:tblPr>
      <w:tblGrid>
        <w:gridCol w:w="3232"/>
        <w:gridCol w:w="346"/>
        <w:gridCol w:w="211"/>
        <w:gridCol w:w="1141"/>
        <w:gridCol w:w="346"/>
        <w:gridCol w:w="211"/>
        <w:gridCol w:w="1036"/>
        <w:gridCol w:w="346"/>
        <w:gridCol w:w="211"/>
        <w:gridCol w:w="1141"/>
        <w:gridCol w:w="346"/>
        <w:gridCol w:w="211"/>
        <w:gridCol w:w="1036"/>
        <w:gridCol w:w="391"/>
      </w:tblGrid>
      <w:tr>
        <w:trPr/>
        <w:tc>
          <w:tcPr>
            <w:tcW w:w="3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52320" cy="175260"/>
                      <wp:effectExtent l="0" t="0" r="0" b="0"/>
                      <wp:wrapNone/>
                      <wp:docPr id="12" name="Frame12"/>
                      <a:graphic xmlns:a="http://schemas.openxmlformats.org/drawingml/2006/main">
                        <a:graphicData uri="http://schemas.microsoft.com/office/word/2010/wordprocessingShape">
                          <wps:wsp>
                            <wps:cNvSpPr txBox="1"/>
                            <wps:spPr>
                              <a:xfrm>
                                <a:off x="0" y="0"/>
                                <a:ext cx="2052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13"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4" name="Frame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724535" cy="175260"/>
                      <wp:effectExtent l="0" t="0" r="0" b="0"/>
                      <wp:wrapNone/>
                      <wp:docPr id="15" name="Frame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724535" cy="175260"/>
                      <wp:effectExtent l="0" t="0" r="0" b="0"/>
                      <wp:wrapNone/>
                      <wp:docPr id="21" name="Frame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48285" cy="175260"/>
                      <wp:effectExtent l="0" t="0" r="0" b="0"/>
                      <wp:wrapNone/>
                      <wp:docPr id="25" name="Frame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w:t>
            </w:r>
          </w:p>
        </w:tc>
        <w:tc>
          <w:tcPr>
            <w:tcW w:w="29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left"/>
              <w:rPr/>
            </w:pPr>
            <w:r>
              <w:rPr/>
              <w:t>  ​ ​ ​</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pPr>
            <w:r>
              <w:rPr/>
              <w:t>  ​</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OPERATING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b/>
                <w:i/>
                <w:sz w:val="20"/>
              </w:rPr>
            </w:pPr>
            <w:r>
              <w:rPr>
                <w:rFonts w:ascii="Times New Roman;Times;serif" w:hAnsi="Times New Roman;Times;serif"/>
                <w:b/>
                <w:i/>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expense – related party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 before income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Income tax expense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left"/>
              <w:rPr/>
            </w:pPr>
            <w:r>
              <w:rPr/>
              <w:t>​</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per common share, basic and diluted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Weighted-Average Shares of Common Shares Outstanding, Basic and diluted</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105,935,254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105,899,684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63,170,918</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(loss) income net of tax:</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  ​</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currency translation adjustments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net unrealized gains on short-term and long-term investments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698</w:t>
            </w:r>
          </w:p>
        </w:tc>
        <w:tc>
          <w:tcPr>
            <w:tcW w:w="34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32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Comprehensive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(9,828)</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(5,687)</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(19,557)</w:t>
            </w:r>
          </w:p>
        </w:tc>
        <w:tc>
          <w:tcPr>
            <w:tcW w:w="346"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(12,766)</w:t>
            </w:r>
          </w:p>
        </w:tc>
        <w:tc>
          <w:tcPr>
            <w:tcW w:w="391" w:type="dxa"/>
            <w:tcBorders/>
            <w:vAlign w:val="center"/>
          </w:tcPr>
          <w:p>
            <w:pPr>
              <w:pStyle w:val="TableContents"/>
              <w:bidi w:val="0"/>
              <w:spacing w:before="0" w:after="1"/>
              <w:ind w:left="0" w:right="0" w:hanging="0"/>
              <w:jc w:val="left"/>
              <w:rPr/>
            </w:pPr>
            <w:r>
              <w:rPr/>
              <w:t>​</w:t>
            </w:r>
          </w:p>
        </w:tc>
      </w:tr>
      <w:tr>
        <w:trPr/>
        <w:tc>
          <w:tcPr>
            <w:tcW w:w="3232"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03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Condensed Consolidated Statements of Changes in Stockholders’ Equity (Deficit</w:t>
      </w:r>
      <w:bookmarkStart w:id="7" w:name="CondensedConsolidatedStatementsofChanges"/>
      <w:bookmarkEnd w:id="7"/>
      <w:r>
        <w:rPr>
          <w:rFonts w:ascii="Times New Roman;Times;serif" w:hAnsi="Times New Roman;Times;serif"/>
          <w:b/>
          <w:sz w:val="20"/>
        </w:rPr>
        <w:t>)</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10205" w:type="dxa"/>
        <w:jc w:val="left"/>
        <w:tblInd w:w="0" w:type="dxa"/>
        <w:tblLayout w:type="fixed"/>
        <w:tblCellMar>
          <w:top w:w="0" w:type="dxa"/>
          <w:left w:w="0" w:type="dxa"/>
          <w:bottom w:w="0" w:type="dxa"/>
          <w:right w:w="0" w:type="dxa"/>
        </w:tblCellMar>
      </w:tblPr>
      <w:tblGrid>
        <w:gridCol w:w="1607"/>
        <w:gridCol w:w="146"/>
        <w:gridCol w:w="916"/>
        <w:gridCol w:w="346"/>
        <w:gridCol w:w="228"/>
        <w:gridCol w:w="403"/>
        <w:gridCol w:w="146"/>
        <w:gridCol w:w="916"/>
        <w:gridCol w:w="346"/>
        <w:gridCol w:w="228"/>
        <w:gridCol w:w="403"/>
        <w:gridCol w:w="146"/>
        <w:gridCol w:w="196"/>
        <w:gridCol w:w="691"/>
        <w:gridCol w:w="146"/>
        <w:gridCol w:w="303"/>
        <w:gridCol w:w="793"/>
        <w:gridCol w:w="146"/>
        <w:gridCol w:w="196"/>
        <w:gridCol w:w="759"/>
        <w:gridCol w:w="146"/>
        <w:gridCol w:w="198"/>
        <w:gridCol w:w="800"/>
      </w:tblGrid>
      <w:tr>
        <w:trPr/>
        <w:tc>
          <w:tcPr>
            <w:tcW w:w="16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020445" cy="175260"/>
                      <wp:effectExtent l="0" t="0" r="0" b="0"/>
                      <wp:wrapNone/>
                      <wp:docPr id="26" name="Frame26"/>
                      <a:graphic xmlns:a="http://schemas.openxmlformats.org/drawingml/2006/main">
                        <a:graphicData uri="http://schemas.microsoft.com/office/word/2010/wordprocessingShape">
                          <wps:wsp>
                            <wps:cNvSpPr txBox="1"/>
                            <wps:spPr>
                              <a:xfrm>
                                <a:off x="0" y="0"/>
                                <a:ext cx="10204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92710" cy="175260"/>
                      <wp:effectExtent l="0" t="0" r="0" b="0"/>
                      <wp:wrapNone/>
                      <wp:docPr id="27" name="Frame2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81660" cy="175260"/>
                      <wp:effectExtent l="0" t="0" r="0" b="0"/>
                      <wp:wrapNone/>
                      <wp:docPr id="28" name="Frame2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4780" cy="175260"/>
                      <wp:effectExtent l="0" t="0" r="0" b="0"/>
                      <wp:wrapNone/>
                      <wp:docPr id="30" name="Frame3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55905" cy="175260"/>
                      <wp:effectExtent l="0" t="0" r="0" b="0"/>
                      <wp:wrapNone/>
                      <wp:docPr id="31" name="Frame31"/>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92710" cy="175260"/>
                      <wp:effectExtent l="0" t="0" r="0" b="0"/>
                      <wp:wrapNone/>
                      <wp:docPr id="32" name="Frame3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581660" cy="175260"/>
                      <wp:effectExtent l="0" t="0" r="0" b="0"/>
                      <wp:wrapNone/>
                      <wp:docPr id="33" name="Frame3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34"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44780" cy="175260"/>
                      <wp:effectExtent l="0" t="0" r="0" b="0"/>
                      <wp:wrapNone/>
                      <wp:docPr id="35" name="Frame3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55905" cy="175260"/>
                      <wp:effectExtent l="0" t="0" r="0" b="0"/>
                      <wp:wrapNone/>
                      <wp:docPr id="36" name="Frame3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92710" cy="175260"/>
                      <wp:effectExtent l="0" t="0" r="0" b="0"/>
                      <wp:wrapNone/>
                      <wp:docPr id="37" name="Frame3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24460" cy="175260"/>
                      <wp:effectExtent l="0" t="0" r="0" b="0"/>
                      <wp:wrapNone/>
                      <wp:docPr id="38" name="Frame38"/>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438785" cy="175260"/>
                      <wp:effectExtent l="0" t="0" r="0" b="0"/>
                      <wp:wrapNone/>
                      <wp:docPr id="39" name="Frame3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92710" cy="175260"/>
                      <wp:effectExtent l="0" t="0" r="0" b="0"/>
                      <wp:wrapNone/>
                      <wp:docPr id="40" name="Frame4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92405" cy="175260"/>
                      <wp:effectExtent l="0" t="0" r="0" b="0"/>
                      <wp:wrapNone/>
                      <wp:docPr id="41" name="Frame41"/>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03555" cy="175260"/>
                      <wp:effectExtent l="0" t="0" r="0" b="0"/>
                      <wp:wrapNone/>
                      <wp:docPr id="42" name="Frame42"/>
                      <a:graphic xmlns:a="http://schemas.openxmlformats.org/drawingml/2006/main">
                        <a:graphicData uri="http://schemas.microsoft.com/office/word/2010/wordprocessingShape">
                          <wps:wsp>
                            <wps:cNvSpPr txBox="1"/>
                            <wps:spPr>
                              <a:xfrm>
                                <a:off x="0" y="0"/>
                                <a:ext cx="503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92710" cy="175260"/>
                      <wp:effectExtent l="0" t="0" r="0" b="0"/>
                      <wp:wrapNone/>
                      <wp:docPr id="43" name="Frame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4460" cy="175260"/>
                      <wp:effectExtent l="0" t="0" r="0" b="0"/>
                      <wp:wrapNone/>
                      <wp:docPr id="44" name="Frame4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481965" cy="175260"/>
                      <wp:effectExtent l="0" t="0" r="0" b="0"/>
                      <wp:wrapNone/>
                      <wp:docPr id="45" name="Frame4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92710" cy="175260"/>
                      <wp:effectExtent l="0" t="0" r="0" b="0"/>
                      <wp:wrapNone/>
                      <wp:docPr id="46" name="Frame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5730" cy="175260"/>
                      <wp:effectExtent l="0" t="0" r="0" b="0"/>
                      <wp:wrapNone/>
                      <wp:docPr id="47" name="Frame47"/>
                      <a:graphic xmlns:a="http://schemas.openxmlformats.org/drawingml/2006/main">
                        <a:graphicData uri="http://schemas.microsoft.com/office/word/2010/wordprocessingShape">
                          <wps:wsp>
                            <wps:cNvSpPr txBox="1"/>
                            <wps:spPr>
                              <a:xfrm>
                                <a:off x="0" y="0"/>
                                <a:ext cx="1257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508000" cy="175260"/>
                      <wp:effectExtent l="0" t="0" r="0" b="0"/>
                      <wp:wrapNone/>
                      <wp:docPr id="48" name="Frame48"/>
                      <a:graphic xmlns:a="http://schemas.openxmlformats.org/drawingml/2006/main">
                        <a:graphicData uri="http://schemas.microsoft.com/office/word/2010/wordprocessingShape">
                          <wps:wsp>
                            <wps:cNvSpPr txBox="1"/>
                            <wps:spPr>
                              <a:xfrm>
                                <a:off x="0" y="0"/>
                                <a:ext cx="508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 </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center"/>
              <w:rPr/>
            </w:pPr>
            <w:r>
              <w:rPr/>
              <w:t>​</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w:t>
            </w:r>
          </w:p>
        </w:tc>
        <w:tc>
          <w:tcPr>
            <w:tcW w:w="403"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 </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Additional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Other</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759"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Common Shares</w:t>
            </w:r>
          </w:p>
        </w:tc>
        <w:tc>
          <w:tcPr>
            <w:tcW w:w="146" w:type="dxa"/>
            <w:tcBorders/>
            <w:vAlign w:val="center"/>
          </w:tcPr>
          <w:p>
            <w:pPr>
              <w:pStyle w:val="TableContents"/>
              <w:bidi w:val="0"/>
              <w:spacing w:before="0" w:after="1"/>
              <w:ind w:left="0" w:right="0" w:hanging="0"/>
              <w:jc w:val="left"/>
              <w:rPr/>
            </w:pPr>
            <w:r>
              <w:rPr/>
              <w:t>​</w:t>
            </w:r>
          </w:p>
        </w:tc>
        <w:tc>
          <w:tcPr>
            <w:tcW w:w="189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Exchangeable Shares</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Paid-In-</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Comprehensive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Accumulated</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1607"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Shares</w:t>
            </w:r>
          </w:p>
        </w:tc>
        <w:tc>
          <w:tcPr>
            <w:tcW w:w="346" w:type="dxa"/>
            <w:tcBorders/>
            <w:vAlign w:val="center"/>
          </w:tcPr>
          <w:p>
            <w:pPr>
              <w:pStyle w:val="TableContents"/>
              <w:bidi w:val="0"/>
              <w:spacing w:before="0" w:after="1"/>
              <w:ind w:left="0" w:right="0" w:hanging="0"/>
              <w:jc w:val="left"/>
              <w:rPr/>
            </w:pPr>
            <w:r>
              <w:rPr/>
              <w:t>  ​ ​ ​</w:t>
            </w:r>
          </w:p>
        </w:tc>
        <w:tc>
          <w:tcPr>
            <w:tcW w:w="63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Amount</w:t>
            </w:r>
          </w:p>
        </w:tc>
        <w:tc>
          <w:tcPr>
            <w:tcW w:w="146" w:type="dxa"/>
            <w:tcBorders/>
            <w:vAlign w:val="center"/>
          </w:tcPr>
          <w:p>
            <w:pPr>
              <w:pStyle w:val="TableContents"/>
              <w:bidi w:val="0"/>
              <w:spacing w:before="0" w:after="1"/>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Capital</w:t>
            </w:r>
          </w:p>
        </w:tc>
        <w:tc>
          <w:tcPr>
            <w:tcW w:w="146" w:type="dxa"/>
            <w:tcBorders/>
            <w:vAlign w:val="center"/>
          </w:tcPr>
          <w:p>
            <w:pPr>
              <w:pStyle w:val="TableContents"/>
              <w:bidi w:val="0"/>
              <w:spacing w:before="0" w:after="1"/>
              <w:ind w:left="0" w:right="0" w:hanging="0"/>
              <w:jc w:val="left"/>
              <w:rPr/>
            </w:pPr>
            <w:r>
              <w:rPr/>
              <w:t> </w:t>
            </w:r>
          </w:p>
        </w:tc>
        <w:tc>
          <w:tcPr>
            <w:tcW w:w="10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Income</w:t>
            </w:r>
          </w:p>
        </w:tc>
        <w:tc>
          <w:tcPr>
            <w:tcW w:w="146" w:type="dxa"/>
            <w:tcBorders/>
            <w:vAlign w:val="center"/>
          </w:tcPr>
          <w:p>
            <w:pPr>
              <w:pStyle w:val="TableContents"/>
              <w:bidi w:val="0"/>
              <w:spacing w:before="0" w:after="1"/>
              <w:ind w:left="0" w:right="0" w:hanging="0"/>
              <w:jc w:val="left"/>
              <w:rPr/>
            </w:pPr>
            <w:r>
              <w:rPr/>
              <w:t>​</w:t>
            </w:r>
          </w:p>
        </w:tc>
        <w:tc>
          <w:tcPr>
            <w:tcW w:w="9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c>
          <w:tcPr>
            <w:tcW w:w="146" w:type="dxa"/>
            <w:tcBorders/>
            <w:vAlign w:val="center"/>
          </w:tcPr>
          <w:p>
            <w:pPr>
              <w:pStyle w:val="TableContents"/>
              <w:bidi w:val="0"/>
              <w:spacing w:before="0" w:after="1"/>
              <w:ind w:left="0" w:right="0" w:hanging="0"/>
              <w:jc w:val="left"/>
              <w:rPr/>
            </w:pPr>
            <w:r>
              <w:rPr/>
              <w:t>​</w:t>
            </w:r>
          </w:p>
        </w:tc>
        <w:tc>
          <w:tcPr>
            <w:tcW w:w="99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Equity</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as of January 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81,771,422</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418,815</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1,206</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(124,625)</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295,406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2,761</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Shares issued upon exercise of options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140,815</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(318,197)</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pPr>
            <w:r>
              <w:rPr/>
              <w:t>—</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shares for private placement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838</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c>
          <w:tcPr>
            <w:tcW w:w="146" w:type="dxa"/>
            <w:tcBorders/>
            <w:vAlign w:val="center"/>
          </w:tcPr>
          <w:p>
            <w:pPr>
              <w:pStyle w:val="TableContents"/>
              <w:bidi w:val="0"/>
              <w:spacing w:before="0" w:after="1"/>
              <w:ind w:left="0" w:right="0" w:hanging="0"/>
              <w:jc w:val="left"/>
              <w:rPr/>
            </w:pPr>
            <w:r>
              <w:rPr/>
              <w:t> </w:t>
            </w:r>
          </w:p>
        </w:tc>
        <w:tc>
          <w:tcPr>
            <w:tcW w:w="1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(10,503)</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March 31,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82,242,434</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23,692,820</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421,734</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(135,128)</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288,596</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2,886</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Conversion of exchangeable shares to common shares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(476,133)</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pPr>
            <w:r>
              <w:rPr/>
              <w:t>—</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vAlign w:val="center"/>
          </w:tcPr>
          <w:p>
            <w:pPr>
              <w:pStyle w:val="TableContents"/>
              <w:bidi w:val="0"/>
              <w:spacing w:before="0" w:after="1"/>
              <w:ind w:left="0" w:right="0" w:hanging="0"/>
              <w:jc w:val="left"/>
              <w:rPr/>
            </w:pPr>
            <w:r>
              <w:rPr/>
              <w:t> </w:t>
            </w:r>
          </w:p>
        </w:tc>
        <w:tc>
          <w:tcPr>
            <w:tcW w:w="403"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vAlign w:val="center"/>
          </w:tcPr>
          <w:p>
            <w:pPr>
              <w:pStyle w:val="TableContents"/>
              <w:bidi w:val="0"/>
              <w:spacing w:before="0" w:after="1"/>
              <w:ind w:left="0" w:right="0" w:hanging="0"/>
              <w:jc w:val="left"/>
              <w:rPr/>
            </w:pPr>
            <w:r>
              <w:rPr/>
              <w:t> </w:t>
            </w:r>
          </w:p>
        </w:tc>
        <w:tc>
          <w:tcPr>
            <w:tcW w:w="793"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c>
          <w:tcPr>
            <w:tcW w:w="1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759"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(289)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Change in unrealized gains on short-term and long-term investments</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shd w:fill="CCEEFF" w:val="clear"/>
            <w:vAlign w:val="center"/>
          </w:tcPr>
          <w:p>
            <w:pPr>
              <w:pStyle w:val="TableContents"/>
              <w:bidi w:val="0"/>
              <w:spacing w:before="0" w:after="1"/>
              <w:ind w:left="0" w:right="0" w:hanging="0"/>
              <w:jc w:val="left"/>
              <w:rPr/>
            </w:pPr>
            <w:r>
              <w:rPr/>
              <w:t> </w:t>
            </w:r>
          </w:p>
        </w:tc>
        <w:tc>
          <w:tcPr>
            <w:tcW w:w="403"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shd w:fill="CCEEFF" w:val="clear"/>
            <w:vAlign w:val="center"/>
          </w:tcPr>
          <w:p>
            <w:pPr>
              <w:pStyle w:val="TableContents"/>
              <w:bidi w:val="0"/>
              <w:spacing w:before="0" w:after="1"/>
              <w:ind w:left="0" w:right="0" w:hanging="0"/>
              <w:jc w:val="left"/>
              <w:rPr/>
            </w:pPr>
            <w:r>
              <w:rPr/>
              <w:t> </w:t>
            </w:r>
          </w:p>
        </w:tc>
        <w:tc>
          <w:tcPr>
            <w:tcW w:w="793"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759"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shd w:fill="CCEEFF" w:val="clear"/>
            <w:vAlign w:val="center"/>
          </w:tcPr>
          <w:p>
            <w:pPr>
              <w:pStyle w:val="TableContents"/>
              <w:bidi w:val="0"/>
              <w:spacing w:before="0" w:after="1"/>
              <w:ind w:left="0" w:right="0" w:hanging="0"/>
              <w:jc w:val="left"/>
              <w:rPr/>
            </w:pPr>
            <w:r>
              <w:rPr/>
              <w:t>​</w:t>
            </w:r>
          </w:p>
        </w:tc>
        <w:tc>
          <w:tcPr>
            <w:tcW w:w="800"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(140)</w:t>
            </w:r>
          </w:p>
        </w:tc>
      </w:tr>
      <w:tr>
        <w:trPr/>
        <w:tc>
          <w:tcPr>
            <w:tcW w:w="1607"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 xml:space="preserve">Net loss </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40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3"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5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c>
          <w:tcPr>
            <w:tcW w:w="146" w:type="dxa"/>
            <w:tcBorders/>
            <w:vAlign w:val="center"/>
          </w:tcPr>
          <w:p>
            <w:pPr>
              <w:pStyle w:val="TableContents"/>
              <w:bidi w:val="0"/>
              <w:spacing w:before="0" w:after="1"/>
              <w:ind w:left="0" w:right="0" w:hanging="0"/>
              <w:jc w:val="left"/>
              <w:rPr/>
            </w:pPr>
            <w:r>
              <w:rPr/>
              <w:t> </w:t>
            </w:r>
          </w:p>
        </w:tc>
        <w:tc>
          <w:tcPr>
            <w:tcW w:w="198" w:type="dxa"/>
            <w:tcBorders/>
            <w:vAlign w:val="center"/>
          </w:tcPr>
          <w:p>
            <w:pPr>
              <w:pStyle w:val="TableContents"/>
              <w:bidi w:val="0"/>
              <w:spacing w:before="0" w:after="1"/>
              <w:ind w:left="0" w:right="0" w:hanging="0"/>
              <w:jc w:val="left"/>
              <w:rPr/>
            </w:pPr>
            <w:r>
              <w:rPr/>
              <w:t>​</w:t>
            </w:r>
          </w:p>
        </w:tc>
        <w:tc>
          <w:tcPr>
            <w:tcW w:w="8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(9,399)</w:t>
            </w:r>
          </w:p>
        </w:tc>
      </w:tr>
      <w:tr>
        <w:trPr/>
        <w:tc>
          <w:tcPr>
            <w:tcW w:w="1607"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Balance, June 30, 2026</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82,718,567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14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23,216,687</w:t>
            </w:r>
          </w:p>
        </w:tc>
        <w:tc>
          <w:tcPr>
            <w:tcW w:w="346" w:type="dxa"/>
            <w:tcBorders/>
            <w:shd w:fill="CCEEFF" w:val="clear"/>
            <w:vAlign w:val="center"/>
          </w:tcPr>
          <w:p>
            <w:pPr>
              <w:pStyle w:val="TableContents"/>
              <w:bidi w:val="0"/>
              <w:spacing w:before="0" w:after="1"/>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40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424,620</w:t>
            </w:r>
          </w:p>
        </w:tc>
        <w:tc>
          <w:tcPr>
            <w:tcW w:w="146" w:type="dxa"/>
            <w:tcBorders/>
            <w:shd w:fill="CCEEFF" w:val="clear"/>
            <w:vAlign w:val="center"/>
          </w:tcPr>
          <w:p>
            <w:pPr>
              <w:pStyle w:val="TableContents"/>
              <w:bidi w:val="0"/>
              <w:spacing w:before="0" w:after="1"/>
              <w:ind w:left="0" w:right="0" w:hanging="0"/>
              <w:jc w:val="left"/>
              <w:rPr/>
            </w:pPr>
            <w:r>
              <w:rPr/>
              <w:t>​</w:t>
            </w:r>
          </w:p>
        </w:tc>
        <w:tc>
          <w:tcPr>
            <w:tcW w:w="30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9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1,551</w:t>
            </w:r>
          </w:p>
        </w:tc>
        <w:tc>
          <w:tcPr>
            <w:tcW w:w="146" w:type="dxa"/>
            <w:tcBorders/>
            <w:shd w:fill="CCEEFF" w:val="clear"/>
            <w:vAlign w:val="center"/>
          </w:tcPr>
          <w:p>
            <w:pPr>
              <w:pStyle w:val="TableContents"/>
              <w:bidi w:val="0"/>
              <w:spacing w:before="0" w:after="1"/>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75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(144,527)</w:t>
            </w:r>
          </w:p>
        </w:tc>
        <w:tc>
          <w:tcPr>
            <w:tcW w:w="146" w:type="dxa"/>
            <w:tcBorders/>
            <w:shd w:fill="CCEEFF" w:val="clear"/>
            <w:vAlign w:val="center"/>
          </w:tcPr>
          <w:p>
            <w:pPr>
              <w:pStyle w:val="TableContents"/>
              <w:bidi w:val="0"/>
              <w:spacing w:before="0" w:after="1"/>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w:t>
            </w:r>
          </w:p>
        </w:tc>
        <w:tc>
          <w:tcPr>
            <w:tcW w:w="800" w:type="dxa"/>
            <w:tcBorders>
              <w:bottom w:val="double" w:sz="6" w:space="0" w:color="000000"/>
            </w:tcBorders>
            <w:shd w:fill="CCEEFF" w:val="clear"/>
            <w:tcMar>
              <w:bottom w:w="28" w:type="dxa"/>
            </w:tcMar>
            <w:vAlign w:val="center"/>
          </w:tcPr>
          <w:p>
            <w:pPr>
              <w:pStyle w:val="TableContents"/>
              <w:bidi w:val="0"/>
              <w:spacing w:before="0" w:after="1"/>
              <w:ind w:left="0" w:right="52" w:hanging="0"/>
              <w:jc w:val="right"/>
              <w:rPr>
                <w:rFonts w:ascii="Times New Roman;Times;serif" w:hAnsi="Times New Roman;Times;serif"/>
                <w:sz w:val="16"/>
              </w:rPr>
            </w:pPr>
            <w:r>
              <w:rPr>
                <w:rFonts w:ascii="Times New Roman;Times;serif" w:hAnsi="Times New Roman;Times;serif"/>
                <w:sz w:val="16"/>
              </w:rPr>
              <w:t>281,654</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11"/>
        <w:gridCol w:w="146"/>
        <w:gridCol w:w="146"/>
        <w:gridCol w:w="766"/>
        <w:gridCol w:w="346"/>
        <w:gridCol w:w="196"/>
        <w:gridCol w:w="375"/>
        <w:gridCol w:w="146"/>
        <w:gridCol w:w="766"/>
        <w:gridCol w:w="346"/>
        <w:gridCol w:w="196"/>
        <w:gridCol w:w="375"/>
        <w:gridCol w:w="109"/>
        <w:gridCol w:w="196"/>
        <w:gridCol w:w="555"/>
        <w:gridCol w:w="109"/>
        <w:gridCol w:w="331"/>
        <w:gridCol w:w="690"/>
        <w:gridCol w:w="109"/>
        <w:gridCol w:w="194"/>
        <w:gridCol w:w="677"/>
        <w:gridCol w:w="109"/>
        <w:gridCol w:w="233"/>
        <w:gridCol w:w="778"/>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1467485" cy="175260"/>
                      <wp:effectExtent l="0" t="0" r="0" b="0"/>
                      <wp:wrapNone/>
                      <wp:docPr id="49" name="Frame49"/>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92710" cy="175260"/>
                      <wp:effectExtent l="0" t="0" r="0" b="0"/>
                      <wp:wrapNone/>
                      <wp:docPr id="50" name="Frame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92710" cy="175260"/>
                      <wp:effectExtent l="0" t="0" r="0" b="0"/>
                      <wp:wrapNone/>
                      <wp:docPr id="51" name="Frame5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486410" cy="175260"/>
                      <wp:effectExtent l="0" t="0" r="0" b="0"/>
                      <wp:wrapNone/>
                      <wp:docPr id="52" name="Frame5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38125" cy="175260"/>
                      <wp:effectExtent l="0" t="0" r="0" b="0"/>
                      <wp:wrapNone/>
                      <wp:docPr id="55" name="Frame55"/>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92710" cy="175260"/>
                      <wp:effectExtent l="0" t="0" r="0" b="0"/>
                      <wp:wrapNone/>
                      <wp:docPr id="56" name="Frame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86410" cy="175260"/>
                      <wp:effectExtent l="0" t="0" r="0" b="0"/>
                      <wp:wrapNone/>
                      <wp:docPr id="57" name="Frame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19710" cy="175260"/>
                      <wp:effectExtent l="0" t="0" r="0" b="0"/>
                      <wp:wrapNone/>
                      <wp:docPr id="58"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38125" cy="175260"/>
                      <wp:effectExtent l="0" t="0" r="0" b="0"/>
                      <wp:wrapNone/>
                      <wp:docPr id="60" name="Frame60"/>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352425" cy="175260"/>
                      <wp:effectExtent l="0" t="0" r="0" b="0"/>
                      <wp:wrapNone/>
                      <wp:docPr id="63" name="Frame63"/>
                      <a:graphic xmlns:a="http://schemas.openxmlformats.org/drawingml/2006/main">
                        <a:graphicData uri="http://schemas.microsoft.com/office/word/2010/wordprocessingShape">
                          <wps:wsp>
                            <wps:cNvSpPr txBox="1"/>
                            <wps:spPr>
                              <a:xfrm>
                                <a:off x="0" y="0"/>
                                <a:ext cx="352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9215" cy="175260"/>
                      <wp:effectExtent l="0" t="0" r="0" b="0"/>
                      <wp:wrapNone/>
                      <wp:docPr id="64" name="Frame6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0185" cy="175260"/>
                      <wp:effectExtent l="0" t="0" r="0" b="0"/>
                      <wp:wrapNone/>
                      <wp:docPr id="65" name="Frame65"/>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438150" cy="175260"/>
                      <wp:effectExtent l="0" t="0" r="0" b="0"/>
                      <wp:wrapNone/>
                      <wp:docPr id="66" name="Frame6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9215" cy="175260"/>
                      <wp:effectExtent l="0" t="0" r="0" b="0"/>
                      <wp:wrapNone/>
                      <wp:docPr id="67" name="Frame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23190" cy="175260"/>
                      <wp:effectExtent l="0" t="0" r="0" b="0"/>
                      <wp:wrapNone/>
                      <wp:docPr id="68" name="Frame68"/>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429895" cy="175260"/>
                      <wp:effectExtent l="0" t="0" r="0" b="0"/>
                      <wp:wrapNone/>
                      <wp:docPr id="69" name="Frame6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9215" cy="175260"/>
                      <wp:effectExtent l="0" t="0" r="0" b="0"/>
                      <wp:wrapNone/>
                      <wp:docPr id="70" name="Frame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47955" cy="175260"/>
                      <wp:effectExtent l="0" t="0" r="0" b="0"/>
                      <wp:wrapNone/>
                      <wp:docPr id="71" name="Frame71"/>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94030" cy="175260"/>
                      <wp:effectExtent l="0" t="0" r="0" b="0"/>
                      <wp:wrapNone/>
                      <wp:docPr id="72" name="Frame72"/>
                      <a:graphic xmlns:a="http://schemas.openxmlformats.org/drawingml/2006/main">
                        <a:graphicData uri="http://schemas.microsoft.com/office/word/2010/wordprocessingShape">
                          <wps:wsp>
                            <wps:cNvSpPr txBox="1"/>
                            <wps:spPr>
                              <a:xfrm>
                                <a:off x="0" y="0"/>
                                <a:ext cx="4940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555"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w:t>
            </w:r>
          </w:p>
        </w:tc>
        <w:tc>
          <w:tcPr>
            <w:tcW w:w="778" w:type="dxa"/>
            <w:tcBorders/>
            <w:vAlign w:val="center"/>
          </w:tcPr>
          <w:p>
            <w:pPr>
              <w:pStyle w:val="TableContents"/>
              <w:bidi w:val="0"/>
              <w:spacing w:before="0" w:after="1"/>
              <w:ind w:left="0" w:right="0" w:hanging="0"/>
              <w:jc w:val="center"/>
              <w:rPr/>
            </w:pPr>
            <w:r>
              <w:rPr/>
              <w:t>​</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w:t>
            </w:r>
          </w:p>
        </w:tc>
        <w:tc>
          <w:tcPr>
            <w:tcW w:w="375" w:type="dxa"/>
            <w:tcBorders/>
            <w:vAlign w:val="center"/>
          </w:tcPr>
          <w:p>
            <w:pPr>
              <w:pStyle w:val="TableContents"/>
              <w:bidi w:val="0"/>
              <w:spacing w:before="0" w:after="1"/>
              <w:ind w:left="0" w:right="0" w:hanging="0"/>
              <w:jc w:val="center"/>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w:t>
            </w:r>
          </w:p>
        </w:tc>
        <w:tc>
          <w:tcPr>
            <w:tcW w:w="677"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Total</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Common Shares</w:t>
            </w:r>
          </w:p>
        </w:tc>
        <w:tc>
          <w:tcPr>
            <w:tcW w:w="146" w:type="dxa"/>
            <w:tcBorders/>
            <w:vAlign w:val="center"/>
          </w:tcPr>
          <w:p>
            <w:pPr>
              <w:pStyle w:val="TableContents"/>
              <w:bidi w:val="0"/>
              <w:spacing w:before="0" w:after="1"/>
              <w:ind w:left="0" w:right="0" w:hanging="0"/>
              <w:jc w:val="left"/>
              <w:rPr/>
            </w:pPr>
            <w:r>
              <w:rPr/>
              <w:t>​</w:t>
            </w:r>
          </w:p>
        </w:tc>
        <w:tc>
          <w:tcPr>
            <w:tcW w:w="1683"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Exchangeable Shares</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Stockholders'</w:t>
            </w:r>
          </w:p>
        </w:tc>
      </w:tr>
      <w:tr>
        <w:trPr/>
        <w:tc>
          <w:tcPr>
            <w:tcW w:w="231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before="0" w:after="1"/>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109" w:type="dxa"/>
            <w:tcBorders/>
            <w:vAlign w:val="center"/>
          </w:tcPr>
          <w:p>
            <w:pPr>
              <w:pStyle w:val="TableContents"/>
              <w:bidi w:val="0"/>
              <w:spacing w:before="0" w:after="1"/>
              <w:ind w:left="0" w:right="0" w:hanging="0"/>
              <w:jc w:val="left"/>
              <w:rPr/>
            </w:pPr>
            <w:r>
              <w:rPr/>
              <w:t>​</w:t>
            </w:r>
          </w:p>
        </w:tc>
        <w:tc>
          <w:tcPr>
            <w:tcW w:w="75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109" w:type="dxa"/>
            <w:tcBorders/>
            <w:vAlign w:val="center"/>
          </w:tcPr>
          <w:p>
            <w:pPr>
              <w:pStyle w:val="TableContents"/>
              <w:bidi w:val="0"/>
              <w:spacing w:before="0" w:after="1"/>
              <w:ind w:left="0" w:right="0" w:hanging="0"/>
              <w:jc w:val="left"/>
              <w:rPr/>
            </w:pPr>
            <w:r>
              <w:rPr/>
              <w:t>​</w:t>
            </w:r>
          </w:p>
        </w:tc>
        <w:tc>
          <w:tcPr>
            <w:tcW w:w="102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Income (Loss)</w:t>
            </w:r>
          </w:p>
        </w:tc>
        <w:tc>
          <w:tcPr>
            <w:tcW w:w="109" w:type="dxa"/>
            <w:tcBorders/>
            <w:vAlign w:val="center"/>
          </w:tcPr>
          <w:p>
            <w:pPr>
              <w:pStyle w:val="TableContents"/>
              <w:bidi w:val="0"/>
              <w:spacing w:before="0" w:after="1"/>
              <w:ind w:left="0" w:right="0" w:hanging="0"/>
              <w:jc w:val="left"/>
              <w:rPr/>
            </w:pPr>
            <w:r>
              <w:rPr/>
              <w:t>​</w:t>
            </w:r>
          </w:p>
        </w:tc>
        <w:tc>
          <w:tcPr>
            <w:tcW w:w="87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109" w:type="dxa"/>
            <w:tcBorders/>
            <w:vAlign w:val="center"/>
          </w:tcPr>
          <w:p>
            <w:pPr>
              <w:pStyle w:val="TableContents"/>
              <w:bidi w:val="0"/>
              <w:spacing w:before="0" w:after="1"/>
              <w:ind w:left="0" w:right="0" w:hanging="0"/>
              <w:jc w:val="left"/>
              <w:rPr/>
            </w:pPr>
            <w:r>
              <w:rPr/>
              <w:t>​</w:t>
            </w:r>
          </w:p>
        </w:tc>
        <w:tc>
          <w:tcPr>
            <w:tcW w:w="101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5"/>
              </w:rPr>
            </w:pPr>
            <w:r>
              <w:rPr>
                <w:rFonts w:ascii="Times New Roman;Times;serif" w:hAnsi="Times New Roman;Times;serif"/>
                <w:b/>
                <w:sz w:val="15"/>
              </w:rPr>
              <w:t>Deficit</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as of January 1, 2025, as recast</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82,774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337</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(96,608)</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(13,491)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180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Issuance of warrants in connection with convertible notes, net of tax</w:t>
            </w:r>
          </w:p>
        </w:tc>
        <w:tc>
          <w:tcPr>
            <w:tcW w:w="146"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2,595</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(827)</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(6,252)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March 31,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85,549</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(490)</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(102,860)</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(17,795)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Stock-based compensation</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375"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shd w:fill="CCEEFF" w:val="clear"/>
            <w:vAlign w:val="center"/>
          </w:tcPr>
          <w:p>
            <w:pPr>
              <w:pStyle w:val="TableContents"/>
              <w:bidi w:val="0"/>
              <w:spacing w:before="0" w:after="1"/>
              <w:ind w:left="0" w:right="0" w:hanging="0"/>
              <w:jc w:val="left"/>
              <w:rPr/>
            </w:pPr>
            <w:r>
              <w:rPr/>
              <w:t> </w:t>
            </w:r>
          </w:p>
        </w:tc>
        <w:tc>
          <w:tcPr>
            <w:tcW w:w="555"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shd w:fill="CCEEFF" w:val="clear"/>
            <w:vAlign w:val="center"/>
          </w:tcPr>
          <w:p>
            <w:pPr>
              <w:pStyle w:val="TableContents"/>
              <w:bidi w:val="0"/>
              <w:spacing w:before="0" w:after="1"/>
              <w:ind w:left="0" w:right="0" w:hanging="0"/>
              <w:jc w:val="left"/>
              <w:rPr/>
            </w:pPr>
            <w:r>
              <w:rPr/>
              <w:t> </w:t>
            </w:r>
          </w:p>
        </w:tc>
        <w:tc>
          <w:tcPr>
            <w:tcW w:w="690"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shd w:fill="CCEEFF" w:val="clear"/>
            <w:vAlign w:val="center"/>
          </w:tcPr>
          <w:p>
            <w:pPr>
              <w:pStyle w:val="TableContents"/>
              <w:bidi w:val="0"/>
              <w:spacing w:before="0" w:after="1"/>
              <w:ind w:left="0" w:right="0" w:hanging="0"/>
              <w:jc w:val="left"/>
              <w:rPr/>
            </w:pPr>
            <w:r>
              <w:rPr/>
              <w:t> </w:t>
            </w:r>
          </w:p>
        </w:tc>
        <w:tc>
          <w:tcPr>
            <w:tcW w:w="677"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pPr>
            <w:r>
              <w:rPr/>
              <w:t> </w:t>
            </w:r>
          </w:p>
        </w:tc>
        <w:tc>
          <w:tcPr>
            <w:tcW w:w="778" w:type="dxa"/>
            <w:tcBorders/>
            <w:shd w:fill="CCEEFF" w:val="cle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214</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Currency translation adjustments</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 </w:t>
            </w:r>
          </w:p>
        </w:tc>
        <w:tc>
          <w:tcPr>
            <w:tcW w:w="76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37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196" w:type="dxa"/>
            <w:tcBorders/>
            <w:vAlign w:val="center"/>
          </w:tcPr>
          <w:p>
            <w:pPr>
              <w:pStyle w:val="TableContents"/>
              <w:bidi w:val="0"/>
              <w:spacing w:before="0" w:after="1"/>
              <w:ind w:left="0" w:right="0" w:hanging="0"/>
              <w:jc w:val="left"/>
              <w:rPr/>
            </w:pPr>
            <w:r>
              <w:rPr/>
              <w:t> </w:t>
            </w:r>
          </w:p>
        </w:tc>
        <w:tc>
          <w:tcPr>
            <w:tcW w:w="555"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331" w:type="dxa"/>
            <w:tcBorders/>
            <w:vAlign w:val="center"/>
          </w:tcPr>
          <w:p>
            <w:pPr>
              <w:pStyle w:val="TableContents"/>
              <w:bidi w:val="0"/>
              <w:spacing w:before="0" w:after="1"/>
              <w:ind w:left="0" w:right="0" w:hanging="0"/>
              <w:jc w:val="left"/>
              <w:rPr/>
            </w:pPr>
            <w:r>
              <w:rPr/>
              <w:t> </w:t>
            </w:r>
          </w:p>
        </w:tc>
        <w:tc>
          <w:tcPr>
            <w:tcW w:w="690"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c>
          <w:tcPr>
            <w:tcW w:w="109" w:type="dxa"/>
            <w:tcBorders/>
            <w:vAlign w:val="center"/>
          </w:tcPr>
          <w:p>
            <w:pPr>
              <w:pStyle w:val="TableContents"/>
              <w:bidi w:val="0"/>
              <w:spacing w:before="0" w:after="1"/>
              <w:ind w:left="0" w:right="0" w:hanging="0"/>
              <w:jc w:val="left"/>
              <w:rPr/>
            </w:pPr>
            <w:r>
              <w:rPr/>
              <w:t>​</w:t>
            </w:r>
          </w:p>
        </w:tc>
        <w:tc>
          <w:tcPr>
            <w:tcW w:w="194"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left"/>
              <w:rPr/>
            </w:pPr>
            <w:r>
              <w:rPr/>
              <w:t>​</w:t>
            </w:r>
          </w:p>
        </w:tc>
        <w:tc>
          <w:tcPr>
            <w:tcW w:w="233" w:type="dxa"/>
            <w:tcBorders/>
            <w:vAlign w:val="center"/>
          </w:tcPr>
          <w:p>
            <w:pPr>
              <w:pStyle w:val="TableContents"/>
              <w:bidi w:val="0"/>
              <w:spacing w:before="0" w:after="1"/>
              <w:ind w:left="0" w:right="0" w:hanging="0"/>
              <w:jc w:val="left"/>
              <w:rPr/>
            </w:pPr>
            <w:r>
              <w:rPr/>
              <w:t> </w:t>
            </w:r>
          </w:p>
        </w:tc>
        <w:tc>
          <w:tcPr>
            <w:tcW w:w="778" w:type="dxa"/>
            <w:tcBorders/>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562</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 xml:space="preserve">Net loss </w:t>
            </w:r>
          </w:p>
        </w:tc>
        <w:tc>
          <w:tcPr>
            <w:tcW w:w="146" w:type="dxa"/>
            <w:tcBorders/>
            <w:shd w:fill="CCEEFF" w:val="clear"/>
            <w:vAlign w:val="center"/>
          </w:tcPr>
          <w:p>
            <w:pPr>
              <w:pStyle w:val="TableContents"/>
              <w:bidi w:val="0"/>
              <w:spacing w:before="0" w:after="1"/>
              <w:ind w:left="0" w:right="0" w:hanging="0"/>
              <w:jc w:val="lef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37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33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c>
          <w:tcPr>
            <w:tcW w:w="109" w:type="dxa"/>
            <w:tcBorders/>
            <w:shd w:fill="CCEEFF" w:val="clear"/>
            <w:vAlign w:val="center"/>
          </w:tcPr>
          <w:p>
            <w:pPr>
              <w:pStyle w:val="TableContents"/>
              <w:bidi w:val="0"/>
              <w:spacing w:before="0" w:after="1"/>
              <w:ind w:left="0" w:right="0" w:hanging="0"/>
              <w:jc w:val="left"/>
              <w:rPr/>
            </w:pPr>
            <w:r>
              <w:rPr/>
              <w:t>​</w:t>
            </w:r>
          </w:p>
        </w:tc>
        <w:tc>
          <w:tcPr>
            <w:tcW w:w="23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7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(6,249)</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Balance, June 30, 2025</w:t>
            </w:r>
          </w:p>
        </w:tc>
        <w:tc>
          <w:tcPr>
            <w:tcW w:w="146" w:type="dxa"/>
            <w:tcBorders/>
            <w:vAlign w:val="center"/>
          </w:tcPr>
          <w:p>
            <w:pPr>
              <w:pStyle w:val="TableContents"/>
              <w:bidi w:val="0"/>
              <w:spacing w:before="0" w:after="1"/>
              <w:ind w:left="0" w:right="0" w:hanging="0"/>
              <w:jc w:val="left"/>
              <w:rPr/>
            </w:pPr>
            <w:r>
              <w:rPr/>
              <w:t> </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39,159,901</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4</w:t>
            </w:r>
          </w:p>
        </w:tc>
        <w:tc>
          <w:tcPr>
            <w:tcW w:w="146" w:type="dxa"/>
            <w:tcBorders/>
            <w:vAlign w:val="center"/>
          </w:tcPr>
          <w:p>
            <w:pPr>
              <w:pStyle w:val="TableContents"/>
              <w:bidi w:val="0"/>
              <w:spacing w:before="0" w:after="1"/>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24,011,017</w:t>
            </w:r>
          </w:p>
        </w:tc>
        <w:tc>
          <w:tcPr>
            <w:tcW w:w="346"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37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w:t>
            </w:r>
          </w:p>
        </w:tc>
        <w:tc>
          <w:tcPr>
            <w:tcW w:w="109" w:type="dxa"/>
            <w:tcBorders/>
            <w:vAlign w:val="center"/>
          </w:tcPr>
          <w:p>
            <w:pPr>
              <w:pStyle w:val="TableContents"/>
              <w:bidi w:val="0"/>
              <w:spacing w:before="0" w:after="1"/>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55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85,763</w:t>
            </w:r>
          </w:p>
        </w:tc>
        <w:tc>
          <w:tcPr>
            <w:tcW w:w="109" w:type="dxa"/>
            <w:tcBorders/>
            <w:vAlign w:val="center"/>
          </w:tcPr>
          <w:p>
            <w:pPr>
              <w:pStyle w:val="TableContents"/>
              <w:bidi w:val="0"/>
              <w:spacing w:before="0" w:after="1"/>
              <w:ind w:left="0" w:right="0" w:hanging="0"/>
              <w:jc w:val="left"/>
              <w:rPr/>
            </w:pPr>
            <w:r>
              <w:rPr/>
              <w:t>​</w:t>
            </w:r>
          </w:p>
        </w:tc>
        <w:tc>
          <w:tcPr>
            <w:tcW w:w="33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9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72</w:t>
            </w:r>
          </w:p>
        </w:tc>
        <w:tc>
          <w:tcPr>
            <w:tcW w:w="109" w:type="dxa"/>
            <w:tcBorders/>
            <w:vAlign w:val="center"/>
          </w:tcPr>
          <w:p>
            <w:pPr>
              <w:pStyle w:val="TableContents"/>
              <w:bidi w:val="0"/>
              <w:spacing w:before="0" w:after="1"/>
              <w:ind w:left="0" w:right="0" w:hanging="0"/>
              <w:jc w:val="left"/>
              <w:rPr/>
            </w:pPr>
            <w:r>
              <w:rPr/>
              <w:t>​</w:t>
            </w:r>
          </w:p>
        </w:tc>
        <w:tc>
          <w:tcPr>
            <w:tcW w:w="19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(109,109)</w:t>
            </w:r>
          </w:p>
        </w:tc>
        <w:tc>
          <w:tcPr>
            <w:tcW w:w="109" w:type="dxa"/>
            <w:tcBorders/>
            <w:vAlign w:val="center"/>
          </w:tcPr>
          <w:p>
            <w:pPr>
              <w:pStyle w:val="TableContents"/>
              <w:bidi w:val="0"/>
              <w:spacing w:before="0" w:after="1"/>
              <w:ind w:left="0" w:right="0" w:hanging="0"/>
              <w:jc w:val="left"/>
              <w:rPr/>
            </w:pPr>
            <w:r>
              <w:rPr/>
              <w:t>​</w:t>
            </w:r>
          </w:p>
        </w:tc>
        <w:tc>
          <w:tcPr>
            <w:tcW w:w="23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t>
            </w:r>
          </w:p>
        </w:tc>
        <w:tc>
          <w:tcPr>
            <w:tcW w:w="778"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4"/>
              </w:rPr>
            </w:pPr>
            <w:r>
              <w:rPr>
                <w:rFonts w:ascii="Times New Roman;Times;serif" w:hAnsi="Times New Roman;Times;serif"/>
                <w:sz w:val="14"/>
              </w:rPr>
              <w:t>(23,268)</w:t>
            </w:r>
          </w:p>
        </w:tc>
      </w:tr>
    </w:tbl>
    <w:p>
      <w:pPr>
        <w:pStyle w:val="TextBody"/>
        <w:bidi w:val="0"/>
        <w:spacing w:before="0" w:after="240"/>
        <w:ind w:left="360" w:right="0" w:hanging="0"/>
        <w:jc w:val="both"/>
        <w:rPr/>
      </w:pPr>
      <w:r>
        <w:rPr/>
        <w:t>​</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 The shares of the Company’s common stock prior to the Recapitalization have been retrospectively recast to reflect the change in the capital structure as a result of the Recapitalization as described in Note 1.</w:t>
      </w:r>
    </w:p>
    <w:p>
      <w:pPr>
        <w:pStyle w:val="TextBody"/>
        <w:bidi w:val="0"/>
        <w:spacing w:before="0" w:after="0"/>
        <w:ind w:left="36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tbl>
      <w:tblPr>
        <w:tblW w:w="69" w:type="dxa"/>
        <w:jc w:val="left"/>
        <w:tblInd w:w="0" w:type="dxa"/>
        <w:tblLayout w:type="fixed"/>
        <w:tblCellMar>
          <w:top w:w="0" w:type="dxa"/>
          <w:left w:w="0" w:type="dxa"/>
          <w:bottom w:w="0" w:type="dxa"/>
          <w:right w:w="0" w:type="dxa"/>
        </w:tblCellMar>
      </w:tblPr>
      <w:tblGrid>
        <w:gridCol w:w="23"/>
        <w:gridCol w:w="23"/>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bookmarkStart w:id="8" w:name="CondensedConsolidatedStatementsofCashFlo"/>
      <w:bookmarkEnd w:id="8"/>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(Unaudited)</w:t>
      </w:r>
    </w:p>
    <w:tbl>
      <w:tblPr>
        <w:tblW w:w="9158" w:type="dxa"/>
        <w:jc w:val="left"/>
        <w:tblInd w:w="0" w:type="dxa"/>
        <w:tblLayout w:type="fixed"/>
        <w:tblCellMar>
          <w:top w:w="0" w:type="dxa"/>
          <w:left w:w="0" w:type="dxa"/>
          <w:bottom w:w="0" w:type="dxa"/>
          <w:right w:w="0" w:type="dxa"/>
        </w:tblCellMar>
      </w:tblPr>
      <w:tblGrid>
        <w:gridCol w:w="6061"/>
        <w:gridCol w:w="346"/>
        <w:gridCol w:w="211"/>
        <w:gridCol w:w="796"/>
        <w:gridCol w:w="346"/>
        <w:gridCol w:w="211"/>
        <w:gridCol w:w="796"/>
        <w:gridCol w:w="391"/>
      </w:tblGrid>
      <w:tr>
        <w:trPr/>
        <w:tc>
          <w:tcPr>
            <w:tcW w:w="60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848735" cy="175260"/>
                      <wp:effectExtent l="0" t="0" r="0" b="0"/>
                      <wp:wrapNone/>
                      <wp:docPr id="73" name="Frame73"/>
                      <a:graphic xmlns:a="http://schemas.openxmlformats.org/drawingml/2006/main">
                        <a:graphicData uri="http://schemas.microsoft.com/office/word/2010/wordprocessingShape">
                          <wps:wsp>
                            <wps:cNvSpPr txBox="1"/>
                            <wps:spPr>
                              <a:xfrm>
                                <a:off x="0" y="0"/>
                                <a:ext cx="3848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505460" cy="175260"/>
                      <wp:effectExtent l="0" t="0" r="0" b="0"/>
                      <wp:wrapNone/>
                      <wp:docPr id="76" name="Frame7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505460" cy="175260"/>
                      <wp:effectExtent l="0" t="0" r="0" b="0"/>
                      <wp:wrapNone/>
                      <wp:docPr id="79" name="Frame7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48285" cy="175260"/>
                      <wp:effectExtent l="0" t="0" r="0" b="0"/>
                      <wp:wrapNone/>
                      <wp:docPr id="80" name="Frame8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0"/>
              <w:ind w:left="0" w:right="0" w:hanging="0"/>
              <w:jc w:val="left"/>
              <w:rPr/>
            </w:pPr>
            <w:r>
              <w:rPr/>
              <w:t>  ​ ​ ​</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 </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to net cash used in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379</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and accretion of discount on investments,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currency transaction gains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lease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interest - related party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(14,794)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(6,885)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intangible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(92,511)</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redemptions of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141,142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(used in) 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48,450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9,335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convertible notes – related parties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1,650</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preferred stock subscription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25,797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stock options for common shares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finance lease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36,695</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Effect of exchange rate changes on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Increase in cash and cash equivalents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33,573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29,361</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97,164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3,022</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130,737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32,383</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Supplemental noncash investing and financing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91" w:type="dxa"/>
            <w:tcBorders/>
            <w:shd w:fill="CCEEFF" w:val="clear"/>
            <w:vAlign w:val="center"/>
          </w:tcPr>
          <w:p>
            <w:pPr>
              <w:pStyle w:val="TableContents"/>
              <w:bidi w:val="0"/>
              <w:spacing w:before="0" w:after="0"/>
              <w:ind w:left="0" w:right="0" w:hanging="0"/>
              <w:jc w:val="left"/>
              <w:rPr/>
            </w:pPr>
            <w:r>
              <w:rPr/>
              <w:t>​</w:t>
            </w:r>
          </w:p>
        </w:tc>
      </w:tr>
      <w:tr>
        <w:trPr/>
        <w:tc>
          <w:tcPr>
            <w:tcW w:w="6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 of warrants in connection with convertible notes, net of tax</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2,595</w:t>
            </w:r>
          </w:p>
        </w:tc>
        <w:tc>
          <w:tcPr>
            <w:tcW w:w="391" w:type="dxa"/>
            <w:tcBorders/>
            <w:vAlign w:val="center"/>
          </w:tcPr>
          <w:p>
            <w:pPr>
              <w:pStyle w:val="TableContents"/>
              <w:bidi w:val="0"/>
              <w:spacing w:before="0" w:after="0"/>
              <w:ind w:left="0" w:right="0" w:hanging="0"/>
              <w:jc w:val="left"/>
              <w:rPr/>
            </w:pPr>
            <w:r>
              <w:rPr/>
              <w:t>​</w:t>
            </w:r>
          </w:p>
        </w:tc>
      </w:tr>
      <w:tr>
        <w:trPr/>
        <w:tc>
          <w:tcPr>
            <w:tcW w:w="60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obtained in exchange for operating lease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0"/>
        <w:ind w:left="0" w:right="0" w:hanging="0"/>
        <w:jc w:val="center"/>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w:t>
      </w:r>
      <w:r>
        <w:rPr>
          <w:rFonts w:ascii="Times New Roman;Times;serif" w:hAnsi="Times New Roman;Times;serif"/>
          <w:b/>
          <w:sz w:val="20"/>
        </w:rPr>
        <w:t>Organization and Description of Business</w:t>
      </w:r>
      <w:bookmarkStart w:id="9" w:name="Notes_Start"/>
      <w:bookmarkEnd w:id="9"/>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(the “Company” or “TEI”), a Company incorporated under the laws of the State of Delaware, is a Company developing Generation IV nuclear technology, as defined by the Generation IV International Forum. The Company is committed to delivering reliable, resilient, emission-free, and cost-competitive energy by developing and deploying its patented Integral Molten Salt Reactor (“IMSR”) for commercial operation.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October 28, 2025 (the “Closing Date”), Terrestrial Energy Inc. (formerly HCM II Acquisition Corp. “HCM II”) consummated the transactions set forth by the Business Combination Agreement dated March 26, 2025 with Terrestrial Energy Development Inc. (formerly Terrestrial Energy, Inc.) (“TEDI”) and HCM II Merger Sub Inc. (the “Business Combination”). Upon closing, Merger Sub merged with and into TEDI, with TEDI surviving as a wholly owned subsidiary of Terrestrial Energy Inc. (collectively, the “Transactions”). Under the terms of the Agreement, TEDI’s outstanding shares of common stock and convertible notes were exchanged for shares in Terrestrial Energy Inc. at an exchange ratio specified in the Business Combination Agreement (the “Recapitalization”).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Business Combination was accounted for as a reverse recapitalization in accordance with generally accepted accounting principles in the United States of America (“U.S. GAAP”). Under this method of accounting, TEDI was deemed to be the accounting acquirer for financial reporting purposes.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Business Combination closed on Tuesday, October 28, 2025, with trading commencing on the Nasdaq Stock Market LLC (“Nasdaq”) on Wednesday, October 29,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closing of the transaction, the combined company became known as Terrestrial Energy Inc. and its securities and warrants were listed on Nasdaq under the symbols “IMSR” and “IMSRW”, respectively.</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Liquidity and Going Concern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Historically, the Company’s primary sources of liquidity have been cash flows from private fundraising offerings to related parties or other investors and other financing activities to fund operations. For the six months ended June 30, 2026 and 2025, the Company reported operating losses of $23,603 and $10,048, respectively, and negative cash flows from operations of $14,794 and $6,885, respectively. As of June 30, 2026, the Company had $130,737 in cash and cash equivalents and $142,781 in short-term investments. The Company had net working capital of $268,621 and an accumulated deficit of $144,527.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 has sufficient liquidity to support operations for at least the next twelve months following the date of issuance of the condensed consolidated financial statements. This projection is based on the Company’s current expectations regarding cost structure, cash burn rate and other operating assumptions.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 Significant Accounting Policies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Basis of Presentation and Principles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and accompanying notes are prepared in accordance with accounting principles generally accepted in the United States of America (“U.S. GAAP”) for interim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the instructions to Form 10-Q and Articles 8 and 10 of Regulation S-X of the U.S. Securities and Exchange Commission (“SEC”). Certain information or footnote disclosures normally included in financial statements prepared in accordance with U.S. GAAP have been condensed or omitted, pursuant to the rules and regulations of the SEC for interim financial reporting. Accordingly, it does not include all the information and footnotes necessary for a complete presentation of financial position, results of operations, or cash flows. The information herein should be read in conjunction with the audited consolidated financial statements and notes thereto included in the Company’s Annual Report on Form 10-K for the fiscal year ended December 31, 2025, which was filed on March 30, 2026. In the opinion of management, the accompanying unaudited condensed consolidated financial statements include all adjustments, consisting of a normal recurring nature, which are necessary for a fair statement of the financial position, operating results, and cash flows for the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certain estimates, judgments and assumptions. The Company believes that the estimates, judgments and assumptions made when accounting for items and matters such as, but not limited to, determination of deferred income for government assistance, useful life of property and equipment and intangible assets, fair value of stock options granted, recognition of deferred income tax assets, determination of incremental borrowing rate used to measure lease liabilities, and warrants, are reasonable based on information available at the time they are made. These estimates, judgments and assumptions can affect the reported amounts of assets and liabilities as of the date of the condensed consolidated financial statements, as well as amounts reported on the statements of operations during the periods presented. Actual results could differ from those estimates.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Foreign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reporting currency is the United States dollar (“USD”). The functional currency of each subsidiary is determined by the currency of the primary economic environment in which the entity operates. The functional currency of Terrestrial Energy Ontario Inc. (“TEON”) is the Canadian dollar (“CAD”), that of Terrestrial Energy Limited, a company incorporated under the laws of England and Wales, the Pound Sterling and that of Terrestrial Energy USA, Inc., the USD. Assets and liabilities of the operating subsidiaries are translated at the spot rate in effect at the applicable reporting date. Revenues and expenses of the operating subsidiaries are translated at the average exchange rates in effect during the applicable period. The resulting foreign currency translation adjustment is recorded as Accumulated other comprehensive income </w:t>
      </w:r>
      <w:r>
        <w:rPr>
          <w:rFonts w:ascii="Times New Roman;Times;serif" w:hAnsi="Times New Roman;Times;serif"/>
          <w:b/>
          <w:sz w:val="20"/>
        </w:rPr>
        <w:t>(</w:t>
      </w:r>
      <w:r>
        <w:rPr>
          <w:rFonts w:ascii="Times New Roman;Times;serif" w:hAnsi="Times New Roman;Times;serif"/>
          <w:sz w:val="20"/>
        </w:rPr>
        <w:t>loss), which is reflected as a separate component of Stockholders’ Equity (Deficit). The functional currency is translated into U.S. dollars for balance sheet accounts using currency exchange rates in effect as of the balance sheet date, and for revenue and expense accounts using a weighted-average exchange rate during the respective reporting period. The transactions in foreign currency (that is a different currency than the functional currency of the entity) are converted at the exchange rate prevailing to the date of the transaction. The assets and liabilities denominated in foreign currencies are evaluated in the current period on the date of the closing or at the opening rate, when applicable. The translation adjustments are deferred as a separate component of stockholders’ equity in “Accumulated other comprehensive income (loss)”. Gains or losses resulting from transactions denominated in foreign currencies and intercompany debt that is not of a long-term investment nature are included in foreign exchange gain (loss) in the condensed consolidated statements of operations and comprehensive loss.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Concentration of Credit Risks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cash accounts in a financial institution may at times exceed the Federal Depository Insurance Corporation coverage of $250,000. No losses have been incurred to date on any deposit balance.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Fair Value Measurements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Fair value is defined as the exit price, or the amount that would be received to sell an asset or paid to transfer a liability in an orderly transaction between market participants as of the measurement date. The authoritative guidance establishes a hierarchy for inputs used in measuring fair value that maximizes the use of observable inputs and minimizes the use of unobservable inputs by requiring that the most observable inputs be used when available. Observable inputs are from sources independent of the Company. Unobservable inputs reflect the Company’s assumptions about the factors market participants would use in valuing the asset or liability developed based upon the best information available in the circumstances. The categorization of financial assets and liabilities within the valuation hierarchy is based upon the lowest level of input that is significant to the fair value measurement. The hierarchy is broken down into three levels:</w:t>
      </w:r>
    </w:p>
    <w:tbl>
      <w:tblPr>
        <w:tblW w:w="6918" w:type="dxa"/>
        <w:jc w:val="left"/>
        <w:tblInd w:w="0" w:type="dxa"/>
        <w:tblLayout w:type="fixed"/>
        <w:tblCellMar>
          <w:top w:w="0" w:type="dxa"/>
          <w:left w:w="0" w:type="dxa"/>
          <w:bottom w:w="0" w:type="dxa"/>
          <w:right w:w="0" w:type="dxa"/>
        </w:tblCellMar>
      </w:tblPr>
      <w:tblGrid>
        <w:gridCol w:w="23"/>
        <w:gridCol w:w="170"/>
        <w:gridCol w:w="67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7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Inputs are quoted prices in active markets for identical assets or liabilities.</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tc>
      </w:tr>
    </w:tbl>
    <w:tbl>
      <w:tblPr>
        <w:tblW w:w="4833" w:type="dxa"/>
        <w:jc w:val="left"/>
        <w:tblInd w:w="0" w:type="dxa"/>
        <w:tblLayout w:type="fixed"/>
        <w:tblCellMar>
          <w:top w:w="0" w:type="dxa"/>
          <w:left w:w="0" w:type="dxa"/>
          <w:bottom w:w="0" w:type="dxa"/>
          <w:right w:w="0" w:type="dxa"/>
        </w:tblCellMar>
      </w:tblPr>
      <w:tblGrid>
        <w:gridCol w:w="23"/>
        <w:gridCol w:w="170"/>
        <w:gridCol w:w="464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Inputs are unobservable for the asset or liability.</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amounts of certain financial instruments, such as cash equivalents, prepaid expenses and other current assets, accounts payable and accrued expenses, approximate fair value due to their relatively short maturities. The Company’s investments are classified as Level 1 or Level 2 assets (as described in Note 3). The valuation techniques used to measure the fair values of the Company’s Level 2 financial instruments, which generally have counterparties with high credit ratings, are based on quoted market prices or model-driven valuations using significant inputs derived from and corroborated by observable market data.</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reviews the terms of warrants to purchase its common stock to determine whether warrants should be classified as liabilities or stockholders’ equity (deficit) in its condensed consolidated balance sheets. In order for a warrant to be classified in stockholders’ equity (deficit), the warrant must be (i) indexed to the Company’s equity and (ii) meet the conditions for equity classification.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a warrant does not meet the conditions for stockholders’ equity (deficit) classification, it is carried on the condensed consolidated balance sheets as a warrant liability measured at fair value, with subsequent changes in the fair value of the warrant recorded in other income (expense) in the condensed consolidated statements of operations and comprehensive loss. If a warrant meets both conditions for equity classification, the warrant is initially recorded, at its relative fair value on the date of issuance, in stockholders’ equity (deficit) in the condensed consolidated balance sheets, and the amount initially recorded is not subsequently remeasured at fair value.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stock-based compensation arrangements granted to employees in accordance with Accounting Standards Codification (“ASC”) 718, “Compensation: Stock Compensation”, by measuring the grant date fair value of the award and recognizing the resulting expense over the period during which the employee is required to perform service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exchange for the award. Equity-based compensation expense is only recognized for awards subject to performance conditions if it is probable that the performance condition will be achieved. The Company accounts for forfeitures when they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uses the Black-Scholes option pricing model to determine the grant date fair value of its stock-based compensation. This model requires the Company to estimate the expected volatility and the expected term of the stock options, which are highly complex and subjective variables. The Company uses an expected volatility of its stock price during the expected life of the options that is based on the historical performance of the Company’s stock price as well as including an estimate using similar companies. The expected term is computed using the simplified method as the Company’s best estimate given its lack of actual exercise history. The Company has selected a risk-free rate based on the implied yield available on U.S. Treasury securities with a maturity equivalent to the expected exercise term of the stock option.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Closing of the Business Combination, there was no public market for the Company’s common stock. Therefore, the Company determined the fair value of common stock at the time of each grant of stock options by considering a number of objective and subjective factors in accordance with applicable elements of the practice aid issued by the American Institute of Certified Public Accountants titled, “Valuation of Privately Held Company Equity Securities Issued as Compensation.” Stock options granted by the Company have exercise prices equal to the fair value of the Company’s common stock, as determined by the Company on the date of grant. After the Closing of the Business Combination, the closing price of the common stock on Nasdaq is used as the fair value of the Company’s common stock.</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grants restricted stock units (“RSUs”) to employees and non-employee directors as part of its equity-based compensation program. RSUs represent the right to receive shares of the Company’s common stock upon vesting, subject to specified service. RSUs do not have voting or dividend rights prior to the issuance of shares, except for dividend equivalents if and when declared, as applicable under the terms of the award agreements.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accounts for RSUs in accordance with ASC 718, Compensation—Stock Compensation. Compensation expense for RSUs is measured at the grant-date fair value, which is equal to the closing market price of the Company’s common stock on the date of grant. For RSUs subject solely to service-based vesting conditions, compensation expense is recognized on a straight-line basis over the requisite service period, which is generally the vesting period of the award. The Company accounts for forfeitures as they occur.</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Upon vesting, each RSU is converted into one share of the Company’s common stock. The Company may withhold shares to satisfy statutory tax withholding requirements. The issuance of shares upon vesting results in an increase to common stock and additional paid-in capital.</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Government Grants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Government grants are recognized where there is reasonable assurance that the grant will be received, and all attached conditions will be complied with. When the grant relates to an expense item, the grant is recognized in other income as government grants deferred over the period necessary to match the grant on a systematic basis to the costs that it is intended to compensate. Where the grant relates to an asset, it is recognized as deferred income, and then recognized as income over the useful life of the related depreciable asset.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Net 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and diluted net loss per share attributable to common stockholders is presented in conformity with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earnings as if all income (loss) for the period had been distributed. The Company’s preferred stock does not contractually require the holders of such stock to participate in losses of the Company. Accordingly, in periods in which the Company reports a net loss attributable to common stockholders, such losses are not allocated to such participating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purposes of this calculation, stock options, warrants, and restricted stock units have been excluded from the calculation of diluted net loss per share attributable to common stockholders as their effect is anti-dilutive for all periods presented.</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a single operating and reportable segment. The Company’s Chief Executive Officer (“CEO”) is its Chief Operating Decision Maker (“CODM”), who reviews financial information presented on a consolidated basis for the purposes of making operating decisions, allocating resources and evaluating financial performance.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an emerging growth company, as defined in Section 2(a) of the Securities Act of 1933, as amended, (the “Securities Act”), as modified by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Recent Accounting Pronouncements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has assessed the adoption impacts of recently issued accounting standards by the Financial Accounting Standards Board on the Company’s condensed consolidated financial statements as well as material updates to previous assessments, if any, to the Company’s annual audited consolidated financial statements and notes thereto included in our Form 10-K for the year ended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Financial Instruments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Company’s cash, cash equivalent and investments by significant investment category as of June 30, 2026:</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746760" cy="175260"/>
                      <wp:effectExtent l="0" t="0" r="0" b="0"/>
                      <wp:wrapNone/>
                      <wp:docPr id="81" name="Frame81"/>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2"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39700" cy="175260"/>
                      <wp:effectExtent l="0" t="0" r="0" b="0"/>
                      <wp:wrapNone/>
                      <wp:docPr id="83" name="Frame8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494665" cy="175260"/>
                      <wp:effectExtent l="0" t="0" r="0" b="0"/>
                      <wp:wrapNone/>
                      <wp:docPr id="84" name="Frame8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24460" cy="175260"/>
                      <wp:effectExtent l="0" t="0" r="0" b="0"/>
                      <wp:wrapNone/>
                      <wp:docPr id="85" name="Frame8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55955" cy="175260"/>
                      <wp:effectExtent l="0" t="0" r="0" b="0"/>
                      <wp:wrapNone/>
                      <wp:docPr id="86" name="Frame86"/>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24460" cy="175260"/>
                      <wp:effectExtent l="0" t="0" r="0" b="0"/>
                      <wp:wrapNone/>
                      <wp:docPr id="87" name="Frame8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63575" cy="175260"/>
                      <wp:effectExtent l="0" t="0" r="0" b="0"/>
                      <wp:wrapNone/>
                      <wp:docPr id="88" name="Frame88"/>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24460" cy="175260"/>
                      <wp:effectExtent l="0" t="0" r="0" b="0"/>
                      <wp:wrapNone/>
                      <wp:docPr id="89" name="Frame8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467995" cy="175260"/>
                      <wp:effectExtent l="0" t="0" r="0" b="0"/>
                      <wp:wrapNone/>
                      <wp:docPr id="90" name="Frame90"/>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24460" cy="175260"/>
                      <wp:effectExtent l="0" t="0" r="0" b="0"/>
                      <wp:wrapNone/>
                      <wp:docPr id="91" name="Frame9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1515" cy="175260"/>
                      <wp:effectExtent l="0" t="0" r="0" b="0"/>
                      <wp:wrapNone/>
                      <wp:docPr id="92" name="Frame92"/>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24460" cy="175260"/>
                      <wp:effectExtent l="0" t="0" r="0" b="0"/>
                      <wp:wrapNone/>
                      <wp:docPr id="93" name="Frame9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67385" cy="175260"/>
                      <wp:effectExtent l="0" t="0" r="0" b="0"/>
                      <wp:wrapNone/>
                      <wp:docPr id="94" name="Frame9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24460" cy="175260"/>
                      <wp:effectExtent l="0" t="0" r="0" b="0"/>
                      <wp:wrapNone/>
                      <wp:docPr id="95" name="Frame9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67385" cy="175260"/>
                      <wp:effectExtent l="0" t="0" r="0" b="0"/>
                      <wp:wrapNone/>
                      <wp:docPr id="96" name="Frame96"/>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9060" cy="175260"/>
                      <wp:effectExtent l="0" t="0" r="0" b="0"/>
                      <wp:wrapNone/>
                      <wp:docPr id="98" name="Frame98"/>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June 30, 2026</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13,434</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117,303</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135,955</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1,868</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137,823</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137,823</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14,910</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(41)</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14,869</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4,958</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150,865</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1,868</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(41)</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152,692</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130,737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142,781</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9,911</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76"/>
        <w:gridCol w:w="346"/>
        <w:gridCol w:w="220"/>
        <w:gridCol w:w="779"/>
        <w:gridCol w:w="196"/>
        <w:gridCol w:w="1033"/>
        <w:gridCol w:w="196"/>
        <w:gridCol w:w="1045"/>
        <w:gridCol w:w="196"/>
        <w:gridCol w:w="737"/>
        <w:gridCol w:w="196"/>
        <w:gridCol w:w="1089"/>
        <w:gridCol w:w="196"/>
        <w:gridCol w:w="1051"/>
        <w:gridCol w:w="196"/>
        <w:gridCol w:w="1051"/>
        <w:gridCol w:w="346"/>
        <w:gridCol w:w="156"/>
      </w:tblGrid>
      <w:tr>
        <w:trPr/>
        <w:tc>
          <w:tcPr>
            <w:tcW w:w="1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746760" cy="175260"/>
                      <wp:effectExtent l="0" t="0" r="0" b="0"/>
                      <wp:wrapNone/>
                      <wp:docPr id="99" name="Frame99"/>
                      <a:graphic xmlns:a="http://schemas.openxmlformats.org/drawingml/2006/main">
                        <a:graphicData uri="http://schemas.microsoft.com/office/word/2010/wordprocessingShape">
                          <wps:wsp>
                            <wps:cNvSpPr txBox="1"/>
                            <wps:spPr>
                              <a:xfrm>
                                <a:off x="0" y="0"/>
                                <a:ext cx="74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9700" cy="175260"/>
                      <wp:effectExtent l="0" t="0" r="0" b="0"/>
                      <wp:wrapNone/>
                      <wp:docPr id="101" name="Frame101"/>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494665" cy="175260"/>
                      <wp:effectExtent l="0" t="0" r="0" b="0"/>
                      <wp:wrapNone/>
                      <wp:docPr id="102" name="Frame102"/>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24460" cy="175260"/>
                      <wp:effectExtent l="0" t="0" r="0" b="0"/>
                      <wp:wrapNone/>
                      <wp:docPr id="103" name="Frame10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55955" cy="175260"/>
                      <wp:effectExtent l="0" t="0" r="0" b="0"/>
                      <wp:wrapNone/>
                      <wp:docPr id="104" name="Frame104"/>
                      <a:graphic xmlns:a="http://schemas.openxmlformats.org/drawingml/2006/main">
                        <a:graphicData uri="http://schemas.microsoft.com/office/word/2010/wordprocessingShape">
                          <wps:wsp>
                            <wps:cNvSpPr txBox="1"/>
                            <wps:spPr>
                              <a:xfrm>
                                <a:off x="0" y="0"/>
                                <a:ext cx="655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4460" cy="175260"/>
                      <wp:effectExtent l="0" t="0" r="0" b="0"/>
                      <wp:wrapNone/>
                      <wp:docPr id="105" name="Frame10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63575" cy="175260"/>
                      <wp:effectExtent l="0" t="0" r="0" b="0"/>
                      <wp:wrapNone/>
                      <wp:docPr id="106" name="Frame106"/>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460" cy="175260"/>
                      <wp:effectExtent l="0" t="0" r="0" b="0"/>
                      <wp:wrapNone/>
                      <wp:docPr id="107" name="Frame10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467995" cy="175260"/>
                      <wp:effectExtent l="0" t="0" r="0" b="0"/>
                      <wp:wrapNone/>
                      <wp:docPr id="108" name="Frame108"/>
                      <a:graphic xmlns:a="http://schemas.openxmlformats.org/drawingml/2006/main">
                        <a:graphicData uri="http://schemas.microsoft.com/office/word/2010/wordprocessingShape">
                          <wps:wsp>
                            <wps:cNvSpPr txBox="1"/>
                            <wps:spPr>
                              <a:xfrm>
                                <a:off x="0" y="0"/>
                                <a:ext cx="467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124460" cy="175260"/>
                      <wp:effectExtent l="0" t="0" r="0" b="0"/>
                      <wp:wrapNone/>
                      <wp:docPr id="109" name="Frame10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1515" cy="175260"/>
                      <wp:effectExtent l="0" t="0" r="0" b="0"/>
                      <wp:wrapNone/>
                      <wp:docPr id="110" name="Frame110"/>
                      <a:graphic xmlns:a="http://schemas.openxmlformats.org/drawingml/2006/main">
                        <a:graphicData uri="http://schemas.microsoft.com/office/word/2010/wordprocessingShape">
                          <wps:wsp>
                            <wps:cNvSpPr txBox="1"/>
                            <wps:spPr>
                              <a:xfrm>
                                <a:off x="0" y="0"/>
                                <a:ext cx="691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24460" cy="175260"/>
                      <wp:effectExtent l="0" t="0" r="0" b="0"/>
                      <wp:wrapNone/>
                      <wp:docPr id="111" name="Frame11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67385" cy="175260"/>
                      <wp:effectExtent l="0" t="0" r="0" b="0"/>
                      <wp:wrapNone/>
                      <wp:docPr id="112" name="Frame112"/>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24460" cy="175260"/>
                      <wp:effectExtent l="0" t="0" r="0" b="0"/>
                      <wp:wrapNone/>
                      <wp:docPr id="113" name="Frame11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67385" cy="175260"/>
                      <wp:effectExtent l="0" t="0" r="0" b="0"/>
                      <wp:wrapNone/>
                      <wp:docPr id="114" name="Frame114"/>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99060" cy="175260"/>
                      <wp:effectExtent l="0" t="0" r="0" b="0"/>
                      <wp:wrapNone/>
                      <wp:docPr id="116" name="Frame116"/>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181" w:type="dxa"/>
            <w:gridSpan w:val="1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As of December 31, 2025</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999" w:type="dxa"/>
            <w:gridSpan w:val="2"/>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33"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45"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737" w:type="dxa"/>
            <w:tcBorders/>
            <w:vAlign w:val="center"/>
          </w:tcPr>
          <w:p>
            <w:pPr>
              <w:pStyle w:val="TableContents"/>
              <w:bidi w:val="0"/>
              <w:spacing w:before="0" w:after="1"/>
              <w:ind w:left="0" w:right="0" w:hanging="0"/>
              <w:jc w:val="center"/>
              <w:rPr/>
            </w:pPr>
            <w:r>
              <w:rPr/>
              <w:t>​</w:t>
            </w:r>
          </w:p>
        </w:tc>
        <w:tc>
          <w:tcPr>
            <w:tcW w:w="196" w:type="dxa"/>
            <w:tcBorders/>
            <w:vAlign w:val="center"/>
          </w:tcPr>
          <w:p>
            <w:pPr>
              <w:pStyle w:val="TableContents"/>
              <w:bidi w:val="0"/>
              <w:spacing w:before="0" w:after="1"/>
              <w:ind w:left="0" w:right="0" w:hanging="0"/>
              <w:jc w:val="center"/>
              <w:rPr/>
            </w:pPr>
            <w:r>
              <w:rPr/>
              <w:t>​</w:t>
            </w:r>
          </w:p>
        </w:tc>
        <w:tc>
          <w:tcPr>
            <w:tcW w:w="1089"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 xml:space="preserve">Cash and Cash </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Short-Term</w:t>
            </w:r>
          </w:p>
        </w:tc>
        <w:tc>
          <w:tcPr>
            <w:tcW w:w="19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Long-Term</w:t>
            </w:r>
          </w:p>
        </w:tc>
        <w:tc>
          <w:tcPr>
            <w:tcW w:w="346" w:type="dxa"/>
            <w:tcBorders/>
            <w:vAlign w:val="center"/>
          </w:tcPr>
          <w:p>
            <w:pPr>
              <w:pStyle w:val="TableContents"/>
              <w:bidi w:val="0"/>
              <w:spacing w:before="0" w:after="1"/>
              <w:ind w:left="0" w:right="0" w:hanging="0"/>
              <w:jc w:val="left"/>
              <w:rPr/>
            </w:pPr>
            <w:r>
              <w:rPr/>
              <w:t>  ​ ​ ​</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Amortized Cost</w:t>
            </w:r>
          </w:p>
        </w:tc>
        <w:tc>
          <w:tcPr>
            <w:tcW w:w="196" w:type="dxa"/>
            <w:tcBorders/>
            <w:vAlign w:val="center"/>
          </w:tcPr>
          <w:p>
            <w:pPr>
              <w:pStyle w:val="TableContents"/>
              <w:bidi w:val="0"/>
              <w:spacing w:before="0" w:after="1"/>
              <w:ind w:left="0" w:right="0" w:hanging="0"/>
              <w:jc w:val="center"/>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Gains</w:t>
            </w:r>
          </w:p>
        </w:tc>
        <w:tc>
          <w:tcPr>
            <w:tcW w:w="196" w:type="dxa"/>
            <w:tcBorders/>
            <w:vAlign w:val="center"/>
          </w:tcPr>
          <w:p>
            <w:pPr>
              <w:pStyle w:val="TableContents"/>
              <w:bidi w:val="0"/>
              <w:spacing w:before="0" w:after="1"/>
              <w:ind w:left="0" w:right="0" w:hanging="0"/>
              <w:jc w:val="center"/>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Unrealized Losses</w:t>
            </w:r>
          </w:p>
        </w:tc>
        <w:tc>
          <w:tcPr>
            <w:tcW w:w="196" w:type="dxa"/>
            <w:tcBorders/>
            <w:vAlign w:val="center"/>
          </w:tcPr>
          <w:p>
            <w:pPr>
              <w:pStyle w:val="TableContents"/>
              <w:bidi w:val="0"/>
              <w:spacing w:before="0" w:after="1"/>
              <w:ind w:left="0" w:right="0" w:hanging="0"/>
              <w:jc w:val="center"/>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Fair Value</w:t>
            </w:r>
          </w:p>
        </w:tc>
        <w:tc>
          <w:tcPr>
            <w:tcW w:w="196" w:type="dxa"/>
            <w:tcBorders/>
            <w:vAlign w:val="center"/>
          </w:tcPr>
          <w:p>
            <w:pPr>
              <w:pStyle w:val="TableContents"/>
              <w:bidi w:val="0"/>
              <w:spacing w:before="0" w:after="1"/>
              <w:ind w:left="0" w:right="0" w:hanging="0"/>
              <w:jc w:val="center"/>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Equivalents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19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Investments</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Cash</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3,267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1:</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Money market funds</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93,897</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U.S. Treasury securities</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 </w:t>
            </w:r>
          </w:p>
        </w:tc>
        <w:tc>
          <w:tcPr>
            <w:tcW w:w="779"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199,497</w:t>
            </w:r>
          </w:p>
        </w:tc>
        <w:tc>
          <w:tcPr>
            <w:tcW w:w="196" w:type="dxa"/>
            <w:tcBorders/>
            <w:vAlign w:val="center"/>
          </w:tcPr>
          <w:p>
            <w:pPr>
              <w:pStyle w:val="TableContents"/>
              <w:bidi w:val="0"/>
              <w:spacing w:before="0" w:after="1"/>
              <w:ind w:left="0" w:right="0" w:hanging="0"/>
              <w:jc w:val="right"/>
              <w:rPr/>
            </w:pPr>
            <w:r>
              <w:rPr/>
              <w:t>​</w:t>
            </w:r>
          </w:p>
        </w:tc>
        <w:tc>
          <w:tcPr>
            <w:tcW w:w="1033"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1,129</w:t>
            </w:r>
          </w:p>
        </w:tc>
        <w:tc>
          <w:tcPr>
            <w:tcW w:w="196" w:type="dxa"/>
            <w:tcBorders/>
            <w:vAlign w:val="center"/>
          </w:tcPr>
          <w:p>
            <w:pPr>
              <w:pStyle w:val="TableContents"/>
              <w:bidi w:val="0"/>
              <w:spacing w:before="0" w:after="1"/>
              <w:ind w:left="0" w:right="0" w:hanging="0"/>
              <w:jc w:val="right"/>
              <w:rPr/>
            </w:pPr>
            <w:r>
              <w:rPr/>
              <w:t>​</w:t>
            </w:r>
          </w:p>
        </w:tc>
        <w:tc>
          <w:tcPr>
            <w:tcW w:w="1045"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89" w:type="dxa"/>
            <w:tcBorders/>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200,626</w:t>
            </w:r>
          </w:p>
        </w:tc>
        <w:tc>
          <w:tcPr>
            <w:tcW w:w="19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Level 2:</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shd w:fill="CCEEFF" w:val="clear"/>
            <w:vAlign w:val="center"/>
          </w:tcPr>
          <w:p>
            <w:pPr>
              <w:pStyle w:val="TableContents"/>
              <w:bidi w:val="0"/>
              <w:spacing w:before="0" w:after="1"/>
              <w:ind w:left="0" w:right="0" w:hanging="0"/>
              <w:jc w:val="left"/>
              <w:rPr/>
            </w:pPr>
            <w:r>
              <w:rPr/>
              <w:t>​</w:t>
            </w:r>
          </w:p>
        </w:tc>
        <w:tc>
          <w:tcPr>
            <w:tcW w:w="77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33"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45"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737"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89"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r>
        <w:trPr/>
        <w:tc>
          <w:tcPr>
            <w:tcW w:w="117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 xml:space="preserve">Government securities </w:t>
            </w:r>
          </w:p>
        </w:tc>
        <w:tc>
          <w:tcPr>
            <w:tcW w:w="346" w:type="dxa"/>
            <w:tcBorders/>
            <w:vAlign w:val="center"/>
          </w:tcPr>
          <w:p>
            <w:pPr>
              <w:pStyle w:val="TableContents"/>
              <w:bidi w:val="0"/>
              <w:spacing w:before="0" w:after="1"/>
              <w:ind w:left="0" w:right="0" w:hanging="0"/>
              <w:jc w:val="left"/>
              <w:rPr/>
            </w:pPr>
            <w:r>
              <w:rPr/>
              <w:t>​</w:t>
            </w:r>
          </w:p>
        </w:tc>
        <w:tc>
          <w:tcPr>
            <w:tcW w:w="220" w:type="dxa"/>
            <w:tcBorders/>
            <w:vAlign w:val="center"/>
          </w:tcPr>
          <w:p>
            <w:pPr>
              <w:pStyle w:val="TableContents"/>
              <w:bidi w:val="0"/>
              <w:spacing w:before="0" w:after="1"/>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33"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4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737"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89"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96" w:type="dxa"/>
            <w:tcBorders/>
            <w:vAlign w:val="center"/>
          </w:tcPr>
          <w:p>
            <w:pPr>
              <w:pStyle w:val="TableContents"/>
              <w:bidi w:val="0"/>
              <w:spacing w:before="0" w:after="1"/>
              <w:ind w:left="0" w:right="0" w:hanging="0"/>
              <w:jc w:val="righ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156" w:type="dxa"/>
            <w:tcBorders/>
            <w:vAlign w:val="center"/>
          </w:tcPr>
          <w:p>
            <w:pPr>
              <w:pStyle w:val="TableContents"/>
              <w:bidi w:val="0"/>
              <w:spacing w:before="0" w:after="1"/>
              <w:ind w:left="0" w:right="0" w:hanging="0"/>
              <w:jc w:val="left"/>
              <w:rPr/>
            </w:pPr>
            <w:r>
              <w:rPr/>
              <w:t>​</w:t>
            </w:r>
          </w:p>
        </w:tc>
      </w:tr>
      <w:tr>
        <w:trPr/>
        <w:tc>
          <w:tcPr>
            <w:tcW w:w="117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2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w:t>
            </w:r>
          </w:p>
        </w:tc>
        <w:tc>
          <w:tcPr>
            <w:tcW w:w="77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199,497</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3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1,129</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4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7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8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97,164</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8"/>
              </w:rPr>
            </w:pPr>
            <w:r>
              <w:rPr>
                <w:rFonts w:ascii="Times New Roman;Times;serif" w:hAnsi="Times New Roman;Times;serif"/>
                <w:b/>
                <w:sz w:val="18"/>
              </w:rPr>
              <w:t>200,626</w:t>
            </w:r>
          </w:p>
        </w:tc>
        <w:tc>
          <w:tcPr>
            <w:tcW w:w="196" w:type="dxa"/>
            <w:tcBorders/>
            <w:shd w:fill="CCEEFF" w:val="clear"/>
            <w:vAlign w:val="center"/>
          </w:tcPr>
          <w:p>
            <w:pPr>
              <w:pStyle w:val="TableContents"/>
              <w:bidi w:val="0"/>
              <w:spacing w:before="0" w:after="1"/>
              <w:ind w:left="0" w:right="0" w:hanging="0"/>
              <w:jc w:val="center"/>
              <w:rPr>
                <w:rFonts w:ascii="Times New Roman;Times;serif" w:hAnsi="Times New Roman;Times;serif"/>
                <w:b/>
                <w:sz w:val="18"/>
              </w:rPr>
            </w:pPr>
            <w:r>
              <w:rPr>
                <w:rFonts w:ascii="Times New Roman;Times;serif" w:hAnsi="Times New Roman;Times;serif"/>
                <w:b/>
                <w:sz w:val="18"/>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15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accrued interest earned of $98 related to investments were included in prepaid expenses and other current assets on the condensed consolidated balance sheets. There was no allowance for expected credit losses on available-for-sale debt securities included as of June 30, 2026 as the unrealized losses were deemed to be temporary in nature.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shows the fair value of the Company’s investments, by contractual maturity, as of June 30, 2026:</w:t>
      </w:r>
    </w:p>
    <w:tbl>
      <w:tblPr>
        <w:tblW w:w="3577" w:type="dxa"/>
        <w:jc w:val="left"/>
        <w:tblInd w:w="0" w:type="dxa"/>
        <w:tblLayout w:type="fixed"/>
        <w:tblCellMar>
          <w:top w:w="0" w:type="dxa"/>
          <w:left w:w="0" w:type="dxa"/>
          <w:bottom w:w="0" w:type="dxa"/>
          <w:right w:w="0" w:type="dxa"/>
        </w:tblCellMar>
      </w:tblPr>
      <w:tblGrid>
        <w:gridCol w:w="2416"/>
        <w:gridCol w:w="109"/>
        <w:gridCol w:w="256"/>
        <w:gridCol w:w="79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34160" cy="175260"/>
                      <wp:effectExtent l="0" t="0" r="0" b="0"/>
                      <wp:wrapNone/>
                      <wp:docPr id="117" name="Frame117"/>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9215" cy="175260"/>
                      <wp:effectExtent l="0" t="0" r="0" b="0"/>
                      <wp:wrapNone/>
                      <wp:docPr id="118" name="Frame1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62560" cy="175260"/>
                      <wp:effectExtent l="0" t="0" r="0" b="0"/>
                      <wp:wrapNone/>
                      <wp:docPr id="119" name="Frame119"/>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505460" cy="175260"/>
                      <wp:effectExtent l="0" t="0" r="0" b="0"/>
                      <wp:wrapNone/>
                      <wp:docPr id="120" name="Frame12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left"/>
              <w:rPr/>
            </w:pPr>
            <w:r>
              <w:rPr/>
              <w:t>​</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within 1 year</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142,781</w:t>
            </w:r>
          </w:p>
        </w:tc>
      </w:tr>
      <w:tr>
        <w:trPr/>
        <w:tc>
          <w:tcPr>
            <w:tcW w:w="2416" w:type="dxa"/>
            <w:tcBorders/>
            <w:vAlign w:val="center"/>
          </w:tcPr>
          <w:p>
            <w:pPr>
              <w:pStyle w:val="TableContents"/>
              <w:bidi w:val="0"/>
              <w:spacing w:before="0" w:after="1"/>
              <w:ind w:left="0" w:right="0" w:hanging="0"/>
              <w:jc w:val="left"/>
              <w:rPr>
                <w:rFonts w:ascii="Times New Roman;Times;serif" w:hAnsi="Times New Roman;Times;serif"/>
                <w:sz w:val="18"/>
              </w:rPr>
            </w:pPr>
            <w:r>
              <w:rPr>
                <w:rFonts w:ascii="Times New Roman;Times;serif" w:hAnsi="Times New Roman;Times;serif"/>
                <w:sz w:val="18"/>
              </w:rPr>
              <w:t>Due after 1 year through 5 years</w:t>
            </w:r>
          </w:p>
        </w:tc>
        <w:tc>
          <w:tcPr>
            <w:tcW w:w="109" w:type="dxa"/>
            <w:tcBorders/>
            <w:vAlign w:val="center"/>
          </w:tcPr>
          <w:p>
            <w:pPr>
              <w:pStyle w:val="TableContents"/>
              <w:bidi w:val="0"/>
              <w:spacing w:before="0" w:after="1"/>
              <w:ind w:left="0" w:right="0" w:hanging="0"/>
              <w:jc w:val="left"/>
              <w:rPr/>
            </w:pPr>
            <w:r>
              <w:rPr/>
              <w:t>​</w:t>
            </w:r>
          </w:p>
        </w:tc>
        <w:tc>
          <w:tcPr>
            <w:tcW w:w="25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8"/>
              </w:rPr>
            </w:pPr>
            <w:r>
              <w:rPr>
                <w:rFonts w:ascii="Times New Roman;Times;serif" w:hAnsi="Times New Roman;Times;serif"/>
                <w:sz w:val="18"/>
              </w:rPr>
              <w:t>9,911</w:t>
            </w:r>
          </w:p>
        </w:tc>
      </w:tr>
      <w:tr>
        <w:trPr/>
        <w:tc>
          <w:tcPr>
            <w:tcW w:w="2416" w:type="dxa"/>
            <w:tcBorders/>
            <w:shd w:fill="CCEEFF" w:val="clear"/>
            <w:vAlign w:val="center"/>
          </w:tcPr>
          <w:p>
            <w:pPr>
              <w:pStyle w:val="TableContents"/>
              <w:bidi w:val="0"/>
              <w:spacing w:before="0" w:after="1"/>
              <w:ind w:left="0" w:right="0" w:hanging="0"/>
              <w:jc w:val="left"/>
              <w:rPr>
                <w:rFonts w:ascii="Times New Roman;Times;serif" w:hAnsi="Times New Roman;Times;serif"/>
                <w:b/>
                <w:sz w:val="18"/>
              </w:rPr>
            </w:pPr>
            <w:r>
              <w:rPr>
                <w:rFonts w:ascii="Times New Roman;Times;serif" w:hAnsi="Times New Roman;Times;serif"/>
                <w:b/>
                <w:sz w:val="18"/>
              </w:rPr>
              <w:t>Total fair value</w:t>
            </w:r>
          </w:p>
        </w:tc>
        <w:tc>
          <w:tcPr>
            <w:tcW w:w="109" w:type="dxa"/>
            <w:tcBorders/>
            <w:shd w:fill="CCEEFF" w:val="clear"/>
            <w:vAlign w:val="center"/>
          </w:tcPr>
          <w:p>
            <w:pPr>
              <w:pStyle w:val="TableContents"/>
              <w:bidi w:val="0"/>
              <w:spacing w:before="0" w:after="1"/>
              <w:ind w:left="0" w:right="0" w:hanging="0"/>
              <w:jc w:val="left"/>
              <w:rPr/>
            </w:pPr>
            <w:r>
              <w:rPr/>
              <w:t>​</w:t>
            </w:r>
          </w:p>
        </w:tc>
        <w:tc>
          <w:tcPr>
            <w:tcW w:w="256" w:type="dxa"/>
            <w:tcBorders/>
            <w:shd w:fill="CCEEFF" w:val="clear"/>
            <w:vAlign w:val="center"/>
          </w:tcPr>
          <w:p>
            <w:pPr>
              <w:pStyle w:val="TableContents"/>
              <w:bidi w:val="0"/>
              <w:spacing w:before="0" w:after="1"/>
              <w:ind w:left="0" w:right="0" w:hanging="0"/>
              <w:jc w:val="left"/>
              <w:rPr>
                <w:rFonts w:ascii="Aptos Narrow" w:hAnsi="Aptos Narrow"/>
                <w:sz w:val="22"/>
              </w:rPr>
            </w:pPr>
            <w:r>
              <w:rPr>
                <w:rFonts w:ascii="Aptos Narrow" w:hAnsi="Aptos Narrow"/>
                <w:sz w:val="22"/>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8"/>
              </w:rPr>
            </w:pPr>
            <w:r>
              <w:rPr>
                <w:rFonts w:ascii="Times New Roman;Times;serif" w:hAnsi="Times New Roman;Times;serif"/>
                <w:b/>
                <w:sz w:val="18"/>
              </w:rPr>
              <w:t>152,692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Related Party Balances and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related party transactions for:</w:t>
      </w:r>
    </w:p>
    <w:tbl>
      <w:tblPr>
        <w:tblW w:w="10205" w:type="dxa"/>
        <w:jc w:val="left"/>
        <w:tblInd w:w="0" w:type="dxa"/>
        <w:tblLayout w:type="fixed"/>
        <w:tblCellMar>
          <w:top w:w="0" w:type="dxa"/>
          <w:left w:w="0" w:type="dxa"/>
          <w:bottom w:w="0" w:type="dxa"/>
          <w:right w:w="0" w:type="dxa"/>
        </w:tblCellMar>
      </w:tblPr>
      <w:tblGrid>
        <w:gridCol w:w="6058"/>
        <w:gridCol w:w="346"/>
        <w:gridCol w:w="225"/>
        <w:gridCol w:w="370"/>
        <w:gridCol w:w="370"/>
        <w:gridCol w:w="225"/>
        <w:gridCol w:w="337"/>
        <w:gridCol w:w="346"/>
        <w:gridCol w:w="211"/>
        <w:gridCol w:w="346"/>
        <w:gridCol w:w="346"/>
        <w:gridCol w:w="211"/>
        <w:gridCol w:w="421"/>
        <w:gridCol w:w="393"/>
      </w:tblGrid>
      <w:tr>
        <w:trPr/>
        <w:tc>
          <w:tcPr>
            <w:tcW w:w="6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3846830" cy="175260"/>
                      <wp:effectExtent l="0" t="0" r="0" b="0"/>
                      <wp:wrapNone/>
                      <wp:docPr id="121" name="Frame121"/>
                      <a:graphic xmlns:a="http://schemas.openxmlformats.org/drawingml/2006/main">
                        <a:graphicData uri="http://schemas.microsoft.com/office/word/2010/wordprocessingShape">
                          <wps:wsp>
                            <wps:cNvSpPr txBox="1"/>
                            <wps:spPr>
                              <a:xfrm>
                                <a:off x="0" y="0"/>
                                <a:ext cx="3846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142875" cy="175260"/>
                      <wp:effectExtent l="0" t="0" r="0" b="0"/>
                      <wp:wrapNone/>
                      <wp:docPr id="123" name="Frame123"/>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34950" cy="175260"/>
                      <wp:effectExtent l="0" t="0" r="0" b="0"/>
                      <wp:wrapNone/>
                      <wp:docPr id="124" name="Frame124"/>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34950" cy="175260"/>
                      <wp:effectExtent l="0" t="0" r="0" b="0"/>
                      <wp:wrapNone/>
                      <wp:docPr id="125" name="Frame125"/>
                      <a:graphic xmlns:a="http://schemas.openxmlformats.org/drawingml/2006/main">
                        <a:graphicData uri="http://schemas.microsoft.com/office/word/2010/wordprocessingShape">
                          <wps:wsp>
                            <wps:cNvSpPr txBox="1"/>
                            <wps:spPr>
                              <a:xfrm>
                                <a:off x="0" y="0"/>
                                <a:ext cx="2349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142875" cy="175260"/>
                      <wp:effectExtent l="0" t="0" r="0" b="0"/>
                      <wp:wrapNone/>
                      <wp:docPr id="126" name="Frame126"/>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3995" cy="175260"/>
                      <wp:effectExtent l="0" t="0" r="0" b="0"/>
                      <wp:wrapNone/>
                      <wp:docPr id="127" name="Frame127"/>
                      <a:graphic xmlns:a="http://schemas.openxmlformats.org/drawingml/2006/main">
                        <a:graphicData uri="http://schemas.microsoft.com/office/word/2010/wordprocessingShape">
                          <wps:wsp>
                            <wps:cNvSpPr txBox="1"/>
                            <wps:spPr>
                              <a:xfrm>
                                <a:off x="0" y="0"/>
                                <a:ext cx="2139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19710" cy="175260"/>
                      <wp:effectExtent l="0" t="0" r="0" b="0"/>
                      <wp:wrapNone/>
                      <wp:docPr id="130" name="Frame1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32" name="Frame1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67335" cy="175260"/>
                      <wp:effectExtent l="0" t="0" r="0" b="0"/>
                      <wp:wrapNone/>
                      <wp:docPr id="133" name="Frame133"/>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49555" cy="175260"/>
                      <wp:effectExtent l="0" t="0" r="0" b="0"/>
                      <wp:wrapNone/>
                      <wp:docPr id="134" name="Frame134"/>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27"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center"/>
              <w:rPr/>
            </w:pPr>
            <w:r>
              <w:rPr/>
              <w:t>​</w:t>
            </w:r>
          </w:p>
        </w:tc>
        <w:tc>
          <w:tcPr>
            <w:tcW w:w="153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3" w:type="dxa"/>
            <w:tcBorders/>
            <w:vAlign w:val="center"/>
          </w:tcPr>
          <w:p>
            <w:pPr>
              <w:pStyle w:val="TableContents"/>
              <w:bidi w:val="0"/>
              <w:spacing w:before="0" w:after="1"/>
              <w:ind w:left="0" w:right="0" w:hanging="0"/>
              <w:jc w:val="center"/>
              <w:rPr/>
            </w:pPr>
            <w:r>
              <w:rPr/>
              <w:t>​</w: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527"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center"/>
              <w:rPr/>
            </w:pPr>
            <w:r>
              <w:rPr/>
              <w:t>​</w:t>
            </w:r>
          </w:p>
        </w:tc>
        <w:tc>
          <w:tcPr>
            <w:tcW w:w="153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3" w:type="dxa"/>
            <w:tcBorders/>
            <w:vAlign w:val="center"/>
          </w:tcPr>
          <w:p>
            <w:pPr>
              <w:pStyle w:val="TableContents"/>
              <w:bidi w:val="0"/>
              <w:spacing w:before="0" w:after="1"/>
              <w:ind w:left="0" w:right="0" w:hanging="0"/>
              <w:jc w:val="center"/>
              <w:rPr/>
            </w:pPr>
            <w:r>
              <w:rPr/>
              <w:t>​</w:t>
            </w:r>
          </w:p>
        </w:tc>
      </w:tr>
      <w:tr>
        <w:trPr/>
        <w:tc>
          <w:tcPr>
            <w:tcW w:w="6058"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5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70" w:type="dxa"/>
            <w:tcBorders/>
            <w:vAlign w:val="center"/>
          </w:tcPr>
          <w:p>
            <w:pPr>
              <w:pStyle w:val="TableContents"/>
              <w:bidi w:val="0"/>
              <w:spacing w:before="0" w:after="1"/>
              <w:ind w:left="0" w:right="0" w:hanging="0"/>
              <w:jc w:val="center"/>
              <w:rPr/>
            </w:pPr>
            <w:r>
              <w:rPr/>
              <w:t>  ​ ​ ​</w:t>
            </w:r>
          </w:p>
        </w:tc>
        <w:tc>
          <w:tcPr>
            <w:tcW w:w="56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55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3" w:type="dxa"/>
            <w:tcBorders/>
            <w:vAlign w:val="center"/>
          </w:tcPr>
          <w:p>
            <w:pPr>
              <w:pStyle w:val="TableContents"/>
              <w:bidi w:val="0"/>
              <w:spacing w:before="0" w:after="1"/>
              <w:ind w:left="0" w:right="0" w:hanging="0"/>
              <w:jc w:val="center"/>
              <w:rPr/>
            </w:pPr>
            <w:r>
              <w:rPr/>
              <w:t>  ​ ​ ​</w:t>
            </w:r>
          </w:p>
        </w:tc>
      </w:tr>
      <w:tr>
        <w:trPr/>
        <w:tc>
          <w:tcPr>
            <w:tcW w:w="60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Professional fees and expenses paid to companies controlled by officers included in 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70" w:type="dxa"/>
            <w:tcBorders/>
            <w:shd w:fill="CCEEFF" w:val="clear"/>
            <w:vAlign w:val="center"/>
          </w:tcPr>
          <w:p>
            <w:pPr>
              <w:pStyle w:val="TableContents"/>
              <w:bidi w:val="0"/>
              <w:spacing w:before="0" w:after="1"/>
              <w:ind w:left="0" w:right="0" w:hanging="0"/>
              <w:jc w:val="right"/>
              <w:rPr/>
            </w:pPr>
            <w:r>
              <w:rPr/>
              <w:t>—</w:t>
            </w:r>
          </w:p>
        </w:tc>
        <w:tc>
          <w:tcPr>
            <w:tcW w:w="370"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w:t>
            </w:r>
          </w:p>
        </w:tc>
        <w:tc>
          <w:tcPr>
            <w:tcW w:w="393" w:type="dxa"/>
            <w:tcBorders/>
            <w:shd w:fill="CCEEFF" w:val="clear"/>
            <w:vAlign w:val="center"/>
          </w:tcPr>
          <w:p>
            <w:pPr>
              <w:pStyle w:val="TableContents"/>
              <w:bidi w:val="0"/>
              <w:spacing w:before="0" w:after="1"/>
              <w:ind w:left="0" w:right="0" w:hanging="0"/>
              <w:jc w:val="left"/>
              <w:rPr/>
            </w:pPr>
            <w:r>
              <w:rPr/>
              <w:t>​</w:t>
            </w:r>
          </w:p>
        </w:tc>
      </w:tr>
      <w:tr>
        <w:trPr/>
        <w:tc>
          <w:tcPr>
            <w:tcW w:w="60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expenses paid to companies controlled by officers included in general and administrative</w:t>
            </w:r>
          </w:p>
        </w:tc>
        <w:tc>
          <w:tcPr>
            <w:tcW w:w="3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370" w:type="dxa"/>
            <w:tcBorders/>
            <w:vAlign w:val="center"/>
          </w:tcPr>
          <w:p>
            <w:pPr>
              <w:pStyle w:val="TableContents"/>
              <w:bidi w:val="0"/>
              <w:spacing w:before="0" w:after="1"/>
              <w:ind w:left="0" w:right="0" w:hanging="0"/>
              <w:jc w:val="right"/>
              <w:rPr/>
            </w:pPr>
            <w:r>
              <w:rPr/>
              <w:t>—</w:t>
            </w:r>
          </w:p>
        </w:tc>
        <w:tc>
          <w:tcPr>
            <w:tcW w:w="370"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3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93"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transactions are in the normal course of operations and are measured at fair value, which is the amount of consideration established and agreed to by the related parties.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5. Leases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During the six months ended June 30, 2026, the Company entered into three lease arrangements with the Board of Regents of The Texas A&amp;M University System related to its operations at the Texas A&amp;M-RELLIS campus in Bryan, Texas.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 March 2026, the Company commenced an operating lease for approximately 1,775 square feet of office space. The lease has an initial term of two years and provides the Company with three additional one-year renewal options. Annual base rent is approximately $116 and increases by 3.5% beginning on the second anniversary of the lease commencement date and annually thereafter.</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On June 15, 2026, the Company entered into two ground lease arrangements with the Texas A&amp;M University System covering an aggregate of approximately 77.7 acres at the Texas A&amp;M-RELLIS campus. The first lease covers approximately 44.4 acres, expires on March 31, 2028, and provides for annual base rent of approximately $1,110, payable quarterly and subject to a 3.75% increase on the first anniversary of the commencement date. The second lease covers approximately 33.3 acres, has an initial term ending September 1, 2026, and may be extended through April 30, 2027. Annualized base rent under the second lease is approximately $0.8 million, payable quarterly and prorated for any partial period, before any approved sponsored-research credits. Because the term of the 33.3-acre lease, including the extension period, does not exceed 12 months, the Company elected the short-term lease recognition exemption and did not recognize a right-of-use asset or lease liability for that arrangement. Payments under the short-term lease are recognized as lease expense over the lease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connection with operating leases commenced during the six months ended June 30, 2026, the Company recognized approximately $2,125 of operating lease right-of-use assets and corresponding lease liabilities. As of June 30, 2026 and December 31, 2025, operating lease right-of-use assets were approximately $3,595 and $1,814, respectively, and operating lease liabilities were approximately $3,809 and $1,984, respectively. As of June 30, 2026, operating lease liabilities included approximately $1,803 classified as current and $2,006 classified as noncurrent.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Stockholders’ Equity (Deficit)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has authorized 1,000,000 shares of preferred stock, par value $0.0001 per share. The Company’s board of Directors is authorized, without further stockholder action, to issue preferred stock in one or more series and to establish the designations, powers, preferences and rights of each such series and the qualifications, limitations and restrictions thereof. As of June 30, 2026 and December 31, 2025, no shares of Preferred Stock were issued and outstanding.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Board of Directors has authorized 500,000,000 shares of common stock, par value $0.0001. As of June 30, 2026 and December 31, 2025, the Company had 82,718,567 and 81,771,422 shares of common stock issued and outstanding.</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Stock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30,276,119 outstanding warrants to purchase common stock at a weighted average exercise price of $8.24 per share.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Call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various call option agreements entered into with certain stockholders prior to the Company’s Business Combination, the Company retains the right to repurchase up to an aggregate of 6,124,297 shares of its outstanding common stock at fixed exercise prices ranging from $1.12 CAD to $2.24 per share. These call options are exercisable at the Company’s discretion and expire at various dates ranging from December 31, 2035, through March 7, 2043. The call options are not subject to any service, performance, or market-based vesting conditions and are not transferable without Company consent. The Company has not exercised any of these call options to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call options continue to be valid and enforceable following the consummation of the Business Combination. These instruments are presented within stockholders’ equity (deficit) at the original consideration price per share and are not remeasured unless exercised.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Exchangeable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the Company had 23,216,687 and 24,011,017 exchangeable shares outstanding. These shares are legally issued by Terrestrial Energy Canada (Exchange) Inc., a wholly-owned subsidiary of the Company (“ExchangeCo”). Each exchangeable share is convertible on a 1-for-1 basis into the Company’s common shares, either at the option of the holder or upon the occurrence of certain events. The exchangeable shares carry economic rights and dividend entitlements equivalent to the Company’s corresponding equity instruments and participate in Company-level voting through a special voting mechanism. Exchangeable shares hold limited economic rights with respect to ExchangeCo and are not entitled to dividends of ExchangeCo; provided that holders of exchangeable shares are entitled to dividends paid on Company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entered into a support and exchange agreement with ExchangeCo and a trustee to guarantee all obligations associated with the exchangeable shares and ensure that holders receive equivalent rights that are intended to be substantively equivalent to direct shareholders of the Company. As such, these instruments are treated as equity of the Company and not reported as noncontrolling interests. During the three months ended June 30, 2026 and 2025, 476,133 and zero exchangeable shares, respectively, were exchanged for common shares. During the six months ended June 30, 2026 and 2025, 794,330 and zero exchangeable shares, respectively, were exchanged for common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Net Loss per Share of Common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Prior to the Business Combination, the Company used the two-class method required for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shares in undistributed earnings as if all income (loss) for the period had been distributed. The Company’s preferred stock that was outstanding prior to the Business Combination contractually entitled the holders of such stock to participate in dividends but did not contractually require the holders of such stock to participate in losses of the Company. Accordingly, in periods in which the Company reported a net loss attributable to common stockholders, such losses were not allocated to the preferred stock. The Company may be required to issue additional common shares pursuant to contingent value rights (“CVRs”) issued in connection with the Business Combination. The number of shares issuable is contingent upon the Company’s future stock price performance over a specified measurement period. As the contingency has not been met as of June 30, 2026, these shares have not been included in the calculation of basic or diluted net loss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After the Business Combination, the Company applied the treasury stock method to determine the dilutive effect of potentially dilutive securities, and the if-converted method to determine the dilutive effect of any potentially dilutive convertible securities, as post-merger, the Company’s only participating securities were shares of the Company’s common stock, and any dividends declared on the common stock would be forfeitable if not vested.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net loss per share is calculated by dividing the net loss attributable to common stockholders by the weighted average number of common stock outstanding during the period, without consideration of potentially dilutive securities. There are no potentially dilutive securities included in the Company’s diluted net loss per share calculation for the six months ended June 30, 2026 and 2025, as the effect of any potentially dilutive security is anti-dilutive due to the net losses in those periods.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table below sets forth the computation of basic and dilutive net loss per share:</w:t>
      </w:r>
    </w:p>
    <w:tbl>
      <w:tblPr>
        <w:tblW w:w="10205" w:type="dxa"/>
        <w:jc w:val="left"/>
        <w:tblInd w:w="0" w:type="dxa"/>
        <w:tblLayout w:type="fixed"/>
        <w:tblCellMar>
          <w:top w:w="0" w:type="dxa"/>
          <w:left w:w="0" w:type="dxa"/>
          <w:bottom w:w="0" w:type="dxa"/>
          <w:right w:w="0" w:type="dxa"/>
        </w:tblCellMar>
      </w:tblPr>
      <w:tblGrid>
        <w:gridCol w:w="3815"/>
        <w:gridCol w:w="346"/>
        <w:gridCol w:w="211"/>
        <w:gridCol w:w="1141"/>
        <w:gridCol w:w="346"/>
        <w:gridCol w:w="211"/>
        <w:gridCol w:w="1036"/>
        <w:gridCol w:w="109"/>
        <w:gridCol w:w="211"/>
        <w:gridCol w:w="1141"/>
        <w:gridCol w:w="346"/>
        <w:gridCol w:w="211"/>
        <w:gridCol w:w="1081"/>
      </w:tblGrid>
      <w:tr>
        <w:trPr/>
        <w:tc>
          <w:tcPr>
            <w:tcW w:w="3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422525" cy="175260"/>
                      <wp:effectExtent l="0" t="0" r="0" b="0"/>
                      <wp:wrapNone/>
                      <wp:docPr id="135" name="Frame135"/>
                      <a:graphic xmlns:a="http://schemas.openxmlformats.org/drawingml/2006/main">
                        <a:graphicData uri="http://schemas.microsoft.com/office/word/2010/wordprocessingShape">
                          <wps:wsp>
                            <wps:cNvSpPr txBox="1"/>
                            <wps:spPr>
                              <a:xfrm>
                                <a:off x="0" y="0"/>
                                <a:ext cx="2422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724535" cy="175260"/>
                      <wp:effectExtent l="0" t="0" r="0" b="0"/>
                      <wp:wrapNone/>
                      <wp:docPr id="138" name="Frame1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33985" cy="175260"/>
                      <wp:effectExtent l="0" t="0" r="0" b="0"/>
                      <wp:wrapNone/>
                      <wp:docPr id="140" name="Frame1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57860" cy="175260"/>
                      <wp:effectExtent l="0" t="0" r="0" b="0"/>
                      <wp:wrapNone/>
                      <wp:docPr id="141" name="Frame14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9215" cy="175260"/>
                      <wp:effectExtent l="0" t="0" r="0" b="0"/>
                      <wp:wrapNone/>
                      <wp:docPr id="142" name="Frame14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33985" cy="175260"/>
                      <wp:effectExtent l="0" t="0" r="0" b="0"/>
                      <wp:wrapNone/>
                      <wp:docPr id="143" name="Frame1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24535" cy="175260"/>
                      <wp:effectExtent l="0" t="0" r="0" b="0"/>
                      <wp:wrapNone/>
                      <wp:docPr id="144" name="Frame14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19710" cy="175260"/>
                      <wp:effectExtent l="0" t="0" r="0" b="0"/>
                      <wp:wrapNone/>
                      <wp:docPr id="145" name="Frame1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3985" cy="175260"/>
                      <wp:effectExtent l="0" t="0" r="0" b="0"/>
                      <wp:wrapNone/>
                      <wp:docPr id="146" name="Frame1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86435" cy="175260"/>
                      <wp:effectExtent l="0" t="0" r="0" b="0"/>
                      <wp:wrapNone/>
                      <wp:docPr id="147" name="Frame147"/>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99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94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9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81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pPr>
            <w:r>
              <w:rPr/>
              <w:t>​</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(6,249)</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(12,501)</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  ​</w:t>
            </w:r>
          </w:p>
        </w:tc>
        <w:tc>
          <w:tcPr>
            <w:tcW w:w="109"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shares outstanding, basic and diluted</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105,935,254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63,170,918</w:t>
            </w:r>
          </w:p>
        </w:tc>
        <w:tc>
          <w:tcPr>
            <w:tcW w:w="109"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105,899,684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63,170,918</w:t>
            </w:r>
          </w:p>
        </w:tc>
      </w:tr>
      <w:tr>
        <w:trPr/>
        <w:tc>
          <w:tcPr>
            <w:tcW w:w="38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per share,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109"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bl>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shares outstanding above include both common shares and exchangeable shares outstanding at June 30, 2026 and 2025 as these shares are exchangeable on a one-for-one basis into the Company’s common shares and are therefore economically equivalent to common shares outstanding.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sets forth a listing of potentially dilutive securities that were excluded from the calculation of diluted net loss per share attributable to common shareholders because the impact of including them would have been anti-dilutive or out-of-the-money. Potentially dilutive securities include stock options, restricted stock units, warrants, and other share-settled instruments: </w:t>
      </w:r>
    </w:p>
    <w:tbl>
      <w:tblPr>
        <w:tblW w:w="8471" w:type="dxa"/>
        <w:jc w:val="left"/>
        <w:tblInd w:w="0" w:type="dxa"/>
        <w:tblLayout w:type="fixed"/>
        <w:tblCellMar>
          <w:top w:w="0" w:type="dxa"/>
          <w:left w:w="0" w:type="dxa"/>
          <w:bottom w:w="0" w:type="dxa"/>
          <w:right w:w="0" w:type="dxa"/>
        </w:tblCellMar>
      </w:tblPr>
      <w:tblGrid>
        <w:gridCol w:w="2491"/>
        <w:gridCol w:w="346"/>
        <w:gridCol w:w="146"/>
        <w:gridCol w:w="1036"/>
        <w:gridCol w:w="346"/>
        <w:gridCol w:w="146"/>
        <w:gridCol w:w="1036"/>
        <w:gridCol w:w="109"/>
        <w:gridCol w:w="146"/>
        <w:gridCol w:w="1036"/>
        <w:gridCol w:w="346"/>
        <w:gridCol w:w="146"/>
        <w:gridCol w:w="1141"/>
      </w:tblGrid>
      <w:tr>
        <w:trPr/>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581785" cy="175260"/>
                      <wp:effectExtent l="0" t="0" r="0" b="0"/>
                      <wp:wrapNone/>
                      <wp:docPr id="148" name="Frame148"/>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19710" cy="175260"/>
                      <wp:effectExtent l="0" t="0" r="0" b="0"/>
                      <wp:wrapNone/>
                      <wp:docPr id="149"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2710" cy="175260"/>
                      <wp:effectExtent l="0" t="0" r="0" b="0"/>
                      <wp:wrapNone/>
                      <wp:docPr id="150" name="Frame15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57860" cy="175260"/>
                      <wp:effectExtent l="0" t="0" r="0" b="0"/>
                      <wp:wrapNone/>
                      <wp:docPr id="151" name="Frame15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19710" cy="175260"/>
                      <wp:effectExtent l="0" t="0" r="0" b="0"/>
                      <wp:wrapNone/>
                      <wp:docPr id="152" name="Frame1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92710" cy="175260"/>
                      <wp:effectExtent l="0" t="0" r="0" b="0"/>
                      <wp:wrapNone/>
                      <wp:docPr id="153" name="Frame15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57860" cy="175260"/>
                      <wp:effectExtent l="0" t="0" r="0" b="0"/>
                      <wp:wrapNone/>
                      <wp:docPr id="154" name="Frame15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9215" cy="175260"/>
                      <wp:effectExtent l="0" t="0" r="0" b="0"/>
                      <wp:wrapNone/>
                      <wp:docPr id="155" name="Frame1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92710" cy="175260"/>
                      <wp:effectExtent l="0" t="0" r="0" b="0"/>
                      <wp:wrapNone/>
                      <wp:docPr id="156" name="Frame15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57860" cy="175260"/>
                      <wp:effectExtent l="0" t="0" r="0" b="0"/>
                      <wp:wrapNone/>
                      <wp:docPr id="157" name="Frame15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92710" cy="175260"/>
                      <wp:effectExtent l="0" t="0" r="0" b="0"/>
                      <wp:wrapNone/>
                      <wp:docPr id="159" name="Frame15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724535" cy="175260"/>
                      <wp:effectExtent l="0" t="0" r="0" b="0"/>
                      <wp:wrapNone/>
                      <wp:docPr id="160" name="Frame16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109" w:type="dxa"/>
            <w:tcBorders/>
            <w:vAlign w:val="center"/>
          </w:tcPr>
          <w:p>
            <w:pPr>
              <w:pStyle w:val="TableContents"/>
              <w:bidi w:val="0"/>
              <w:spacing w:before="0" w:after="0"/>
              <w:ind w:left="0" w:right="0" w:hanging="0"/>
              <w:jc w:val="center"/>
              <w:rPr/>
            </w:pPr>
            <w:r>
              <w:rPr/>
              <w:t>​</w:t>
            </w:r>
          </w:p>
        </w:tc>
        <w:tc>
          <w:tcPr>
            <w:tcW w:w="281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0"/>
              <w:ind w:left="0" w:right="0" w:hanging="0"/>
              <w:jc w:val="center"/>
              <w:rPr/>
            </w:pPr>
            <w:r>
              <w:rPr/>
              <w:t>​</w:t>
            </w:r>
          </w:p>
        </w:tc>
        <w:tc>
          <w:tcPr>
            <w:tcW w:w="281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4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0"/>
              <w:ind w:left="0" w:right="0" w:hanging="0"/>
              <w:jc w:val="center"/>
              <w:rPr/>
            </w:pPr>
            <w:r>
              <w:rPr/>
              <w:t>​</w:t>
            </w:r>
          </w:p>
        </w:tc>
        <w:tc>
          <w:tcPr>
            <w:tcW w:w="11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2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17,780,905</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19,198,254</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17,780,905</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19,198,254</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RSUs</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1,372,856</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1,372,856</w:t>
            </w:r>
          </w:p>
        </w:tc>
        <w:tc>
          <w:tcPr>
            <w:tcW w:w="34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r>
      <w:tr>
        <w:trPr/>
        <w:tc>
          <w:tcPr>
            <w:tcW w:w="24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 (public and private)</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30,276,119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12,670,143</w:t>
            </w:r>
          </w:p>
        </w:tc>
        <w:tc>
          <w:tcPr>
            <w:tcW w:w="109" w:type="dxa"/>
            <w:tcBorders/>
            <w:shd w:fill="CCEEFF" w:val="clear"/>
            <w:vAlign w:val="center"/>
          </w:tcPr>
          <w:p>
            <w:pPr>
              <w:pStyle w:val="TableContents"/>
              <w:bidi w:val="0"/>
              <w:spacing w:before="0" w:after="0"/>
              <w:ind w:left="0" w:right="0" w:hanging="0"/>
              <w:jc w:val="righ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30,276,119</w:t>
            </w:r>
          </w:p>
        </w:tc>
        <w:tc>
          <w:tcPr>
            <w:tcW w:w="346" w:type="dxa"/>
            <w:tcBorders/>
            <w:shd w:fill="CCEEFF" w:val="clear"/>
            <w:vAlign w:val="center"/>
          </w:tcPr>
          <w:p>
            <w:pPr>
              <w:pStyle w:val="TableContents"/>
              <w:bidi w:val="0"/>
              <w:spacing w:before="0" w:after="0"/>
              <w:ind w:left="0" w:right="0" w:hanging="0"/>
              <w:jc w:val="left"/>
              <w:rPr/>
            </w:pPr>
            <w:r>
              <w:rPr/>
              <w:t>​</w:t>
            </w:r>
          </w:p>
        </w:tc>
        <w:tc>
          <w:tcPr>
            <w:tcW w:w="14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12,670,143</w:t>
            </w:r>
          </w:p>
        </w:tc>
      </w:tr>
      <w:tr>
        <w:trPr/>
        <w:tc>
          <w:tcPr>
            <w:tcW w:w="24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49,429,880</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31,868,397</w:t>
            </w:r>
          </w:p>
        </w:tc>
        <w:tc>
          <w:tcPr>
            <w:tcW w:w="109" w:type="dxa"/>
            <w:tcBorders/>
            <w:vAlign w:val="center"/>
          </w:tcPr>
          <w:p>
            <w:pPr>
              <w:pStyle w:val="TableContents"/>
              <w:bidi w:val="0"/>
              <w:spacing w:before="0" w:after="0"/>
              <w:ind w:left="0" w:right="0" w:hanging="0"/>
              <w:jc w:val="righ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49,429,880</w:t>
            </w:r>
          </w:p>
        </w:tc>
        <w:tc>
          <w:tcPr>
            <w:tcW w:w="346" w:type="dxa"/>
            <w:tcBorders/>
            <w:vAlign w:val="center"/>
          </w:tcPr>
          <w:p>
            <w:pPr>
              <w:pStyle w:val="TableContents"/>
              <w:bidi w:val="0"/>
              <w:spacing w:before="0" w:after="0"/>
              <w:ind w:left="0" w:right="0" w:hanging="0"/>
              <w:jc w:val="left"/>
              <w:rPr/>
            </w:pPr>
            <w:r>
              <w:rPr/>
              <w:t>​</w:t>
            </w:r>
          </w:p>
        </w:tc>
        <w:tc>
          <w:tcPr>
            <w:tcW w:w="14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31,868,397</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8. Stock-Based Compensation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 2014, the Company adopted the amended and restated Terrestrial Energy Inc. 2014 Stock Options Plan (“the 2014 Plan”). In connection with the Company’s redomestication to Delaware, outstanding awards under the 2014 Plan were assumed by the Terrestrial Energy Delaware Inc. 2024 Stock Option Plan, which was most recently amended and restated in October 2024, as the Terrestrial Energy Inc. Second Amended and Restated 2024 Stock Option Plan. In October 2025, the Company adopted the 2025 Equity Incentive Plan, effective immediately prior to the closing of the Business Combination (the “Current Plan”). As of June 30, 2026, the Current Plan authorizes the Company to award equity awards resulting in the issuance of up to 38,347,872 shares of common stock. The Current Plan provides for grants of incentive stock options, non-qualified stock options, restricted stock awards, restricted stock unit awards, stock appreciation rights and other awards to employees, non-employee directors, consultants and advisors of the Company. The Current Plan is designed to promote the interests of the Company using equity investment interests to attract, motivate, and retain individuals. The Current Plan is administered by the Board of Directors. The Board determines the type, number, vesting requirements and other features and conditions of such awards. Generally, stock options granted from the Current Plan have a contractual term of ten years from the date of the grant and vest over one to three years, subject to the discretion of the Compensation Committee.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Company has recorded stock-based compensation expense for options of $423 and $214 for the three months ended June 30, 2026 and 2025, respectively. The Company has recorded stock-based compensation expense for options of $863 and $394 for the six months ended June 30, 2026 and 2025, respectively. As of June 30, 2026, total compensation expense related to awards not yet recognized was approximately $2,782 which is expected to be recognized over a weighted average period of 1.8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recorded stock-based compensation expense for RSU awards of $2,463 and $0 for the three months ended June 30, 2026 and 2025, respectively. The Company recorded stock-based compensation expense for RSU awards of $4,784 and $0 for the six months ended June 30, 2026 and 2025, respectively. The total unrecognized RSU expense as of June 30, 2026 was $7,384 with a weighted-average period over which it is to be recognized of 1.2 years.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9. Income Taxes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subject to United States federal and state taxes as well as other foreign 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and 2025, the Company recorded a provision for income taxes of $78 and $0, which represented an effective tax rate of (0.8%) and 0%, respectively. During the six months ended June 30, 2026 and 2025, the Company recorded a provision for income taxes of $115 and $0, which represented an effective tax rate of (0.6%) and 0%, respectively.  The effective income tax rates for both the three months and six months ended June 30, 2026 and 2025 are different from the U.S. federal statutory rate of 21.0% due to the valuation allowance.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10. Segment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ASC Topic 280, “Segment Reporting,” establishes standards for companies to report in their financial statement information about operating segments, products, services, geographic areas, and major customers. Operating segments are defined as components of an enterprise that engage in business activities from which it may recognize revenues and incur expenses, and for which separate financial information is available that is regularly evaluated by the Company’s chief operating decision maker, or group, in deciding how to allocate resources and assess performance.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chief operating decision maker (“CODM”) has been identified as the Chief Executive Officer in accordance with ASC 280-10-50-5, who reviews the assets, operating results, and financial metrics for the Company as a whole to make decisions about allocating resources and assessing financial performance. Accordingly, management has determined that there is only one reportable segment.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assesses performance for the single segment and decides how to allocate resources based on net income or loss that also is reported on the consolidated statement of operations as net income or loss. The measure of segment assets is reported on the consolidated balance sheet as total assets when evaluating the Company’s performance and making key decisions regarding resource allocation the CODM reviews several key metrics, which include the following:</w:t>
      </w:r>
    </w:p>
    <w:p>
      <w:pPr>
        <w:pStyle w:val="TextBody"/>
        <w:bidi w:val="0"/>
        <w:spacing w:before="0" w:after="240"/>
        <w:ind w:left="0" w:right="0" w:hanging="0"/>
        <w:jc w:val="left"/>
        <w:rPr/>
      </w:pPr>
      <w:r>
        <w:rPr/>
        <w:t>​</w:t>
      </w:r>
    </w:p>
    <w:tbl>
      <w:tblPr>
        <w:tblW w:w="7786" w:type="dxa"/>
        <w:jc w:val="left"/>
        <w:tblInd w:w="0" w:type="dxa"/>
        <w:tblLayout w:type="fixed"/>
        <w:tblCellMar>
          <w:top w:w="0" w:type="dxa"/>
          <w:left w:w="0" w:type="dxa"/>
          <w:bottom w:w="0" w:type="dxa"/>
          <w:right w:w="0" w:type="dxa"/>
        </w:tblCellMar>
      </w:tblPr>
      <w:tblGrid>
        <w:gridCol w:w="3091"/>
        <w:gridCol w:w="346"/>
        <w:gridCol w:w="211"/>
        <w:gridCol w:w="676"/>
        <w:gridCol w:w="346"/>
        <w:gridCol w:w="211"/>
        <w:gridCol w:w="571"/>
        <w:gridCol w:w="109"/>
        <w:gridCol w:w="211"/>
        <w:gridCol w:w="676"/>
        <w:gridCol w:w="346"/>
        <w:gridCol w:w="211"/>
        <w:gridCol w:w="78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962785" cy="175260"/>
                      <wp:effectExtent l="0" t="0" r="0" b="0"/>
                      <wp:wrapNone/>
                      <wp:docPr id="161" name="Frame161"/>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33985" cy="175260"/>
                      <wp:effectExtent l="0" t="0" r="0" b="0"/>
                      <wp:wrapNone/>
                      <wp:docPr id="163" name="Frame1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4" name="Frame16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19710" cy="175260"/>
                      <wp:effectExtent l="0" t="0" r="0" b="0"/>
                      <wp:wrapNone/>
                      <wp:docPr id="165"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33985" cy="175260"/>
                      <wp:effectExtent l="0" t="0" r="0" b="0"/>
                      <wp:wrapNone/>
                      <wp:docPr id="166" name="Frame1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362585" cy="175260"/>
                      <wp:effectExtent l="0" t="0" r="0" b="0"/>
                      <wp:wrapNone/>
                      <wp:docPr id="167" name="Frame16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9215" cy="175260"/>
                      <wp:effectExtent l="0" t="0" r="0" b="0"/>
                      <wp:wrapNone/>
                      <wp:docPr id="168" name="Frame1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29260" cy="175260"/>
                      <wp:effectExtent l="0" t="0" r="0" b="0"/>
                      <wp:wrapNone/>
                      <wp:docPr id="170" name="Frame1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19710" cy="175260"/>
                      <wp:effectExtent l="0" t="0" r="0" b="0"/>
                      <wp:wrapNone/>
                      <wp:docPr id="171" name="Frame1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95935" cy="175260"/>
                      <wp:effectExtent l="0" t="0" r="0" b="0"/>
                      <wp:wrapNone/>
                      <wp:docPr id="173" name="Frame1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1"/>
              <w:ind w:left="0" w:right="0" w:hanging="0"/>
              <w:jc w:val="center"/>
              <w:rPr/>
            </w:pPr>
            <w:r>
              <w:rPr/>
              <w:t>​</w:t>
            </w:r>
          </w:p>
        </w:tc>
        <w:tc>
          <w:tcPr>
            <w:tcW w:w="222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01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0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 expenses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109" w:type="dxa"/>
            <w:tcBorders/>
            <w:vAlign w:val="center"/>
          </w:tcPr>
          <w:p>
            <w:pPr>
              <w:pStyle w:val="TableContents"/>
              <w:bidi w:val="0"/>
              <w:spacing w:before="0" w:after="1"/>
              <w:ind w:left="0" w:right="0" w:hanging="0"/>
              <w:jc w:val="right"/>
              <w:rPr/>
            </w:pPr>
            <w:r>
              <w:rPr/>
              <w:t>​</w:t>
            </w:r>
          </w:p>
        </w:tc>
        <w:tc>
          <w:tcPr>
            <w:tcW w:w="211"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significant non-cash items: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571" w:type="dxa"/>
            <w:tcBorders/>
            <w:shd w:fill="CCEEFF" w:val="clear"/>
            <w:vAlign w:val="center"/>
          </w:tcPr>
          <w:p>
            <w:pPr>
              <w:pStyle w:val="TableContents"/>
              <w:bidi w:val="0"/>
              <w:spacing w:before="0" w:after="1"/>
              <w:ind w:left="0" w:right="0" w:hanging="0"/>
              <w:jc w:val="right"/>
              <w:rPr/>
            </w:pPr>
            <w:r>
              <w:rPr/>
              <w:t>​</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1"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109" w:type="dxa"/>
            <w:tcBorders/>
            <w:vAlign w:val="center"/>
          </w:tcPr>
          <w:p>
            <w:pPr>
              <w:pStyle w:val="TableContents"/>
              <w:bidi w:val="0"/>
              <w:spacing w:before="0" w:after="1"/>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109" w:type="dxa"/>
            <w:tcBorders/>
            <w:shd w:fill="CCEEFF" w:val="clear"/>
            <w:vAlign w:val="center"/>
          </w:tcPr>
          <w:p>
            <w:pPr>
              <w:pStyle w:val="TableContents"/>
              <w:bidi w:val="0"/>
              <w:spacing w:before="0" w:after="1"/>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10,048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Company has not earned significant revenue yet, the key measures of segment profit or loss reviewed by the Company’s CODM are research and development costs and general and administrative expenses to monitor, manage and forecast cash to ensure enough capital is available for working capital needs. The CODM also reviews research and development costs and general and administrative costs to manage, maintain and enforce all contractual agreements to ensure costs are aligned with all agreements and budget.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geographic location of long-lived assets is as follows:</w:t>
      </w:r>
    </w:p>
    <w:tbl>
      <w:tblPr>
        <w:tblW w:w="3815" w:type="dxa"/>
        <w:jc w:val="left"/>
        <w:tblInd w:w="0" w:type="dxa"/>
        <w:tblLayout w:type="fixed"/>
        <w:tblCellMar>
          <w:top w:w="0" w:type="dxa"/>
          <w:left w:w="0" w:type="dxa"/>
          <w:bottom w:w="0" w:type="dxa"/>
          <w:right w:w="0" w:type="dxa"/>
        </w:tblCellMar>
      </w:tblPr>
      <w:tblGrid>
        <w:gridCol w:w="1201"/>
        <w:gridCol w:w="346"/>
        <w:gridCol w:w="211"/>
        <w:gridCol w:w="571"/>
        <w:gridCol w:w="346"/>
        <w:gridCol w:w="271"/>
        <w:gridCol w:w="869"/>
      </w:tblGrid>
      <w:tr>
        <w:trPr/>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62635" cy="175260"/>
                      <wp:effectExtent l="0" t="0" r="0" b="0"/>
                      <wp:wrapNone/>
                      <wp:docPr id="174" name="Frame1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19710" cy="175260"/>
                      <wp:effectExtent l="0" t="0" r="0" b="0"/>
                      <wp:wrapNone/>
                      <wp:docPr id="175" name="Frame1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33985" cy="175260"/>
                      <wp:effectExtent l="0" t="0" r="0" b="0"/>
                      <wp:wrapNone/>
                      <wp:docPr id="176" name="Frame1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62585" cy="175260"/>
                      <wp:effectExtent l="0" t="0" r="0" b="0"/>
                      <wp:wrapNone/>
                      <wp:docPr id="177" name="Frame1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19710" cy="175260"/>
                      <wp:effectExtent l="0" t="0" r="0" b="0"/>
                      <wp:wrapNone/>
                      <wp:docPr id="178" name="Frame1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72085" cy="175260"/>
                      <wp:effectExtent l="0" t="0" r="0" b="0"/>
                      <wp:wrapNone/>
                      <wp:docPr id="179" name="Frame17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51815" cy="175260"/>
                      <wp:effectExtent l="0" t="0" r="0" b="0"/>
                      <wp:wrapNone/>
                      <wp:docPr id="180" name="Frame180"/>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3,196</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1,191</w:t>
            </w:r>
          </w:p>
        </w:tc>
      </w:tr>
      <w:tr>
        <w:trPr/>
        <w:tc>
          <w:tcPr>
            <w:tcW w:w="1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w:t>
            </w:r>
          </w:p>
        </w:tc>
        <w:tc>
          <w:tcPr>
            <w:tcW w:w="346" w:type="dxa"/>
            <w:tcBorders/>
            <w:vAlign w:val="center"/>
          </w:tcPr>
          <w:p>
            <w:pPr>
              <w:pStyle w:val="TableContents"/>
              <w:bidi w:val="0"/>
              <w:spacing w:before="0" w:after="1"/>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2,166</w:t>
            </w:r>
          </w:p>
        </w:tc>
      </w:tr>
      <w:tr>
        <w:trPr/>
        <w:tc>
          <w:tcPr>
            <w:tcW w:w="1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5,089</w:t>
            </w:r>
          </w:p>
        </w:tc>
        <w:tc>
          <w:tcPr>
            <w:tcW w:w="346" w:type="dxa"/>
            <w:tcBorders/>
            <w:shd w:fill="CCEEFF" w:val="clear"/>
            <w:vAlign w:val="center"/>
          </w:tcPr>
          <w:p>
            <w:pPr>
              <w:pStyle w:val="TableContents"/>
              <w:bidi w:val="0"/>
              <w:spacing w:before="0" w:after="1"/>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3,357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11. Commitments and Contingencies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Litigation and loss contingencies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From time to time, the Company may be subject to legal proceedings, claims, investigations, and government inquiries (collectively, legal proceedings) in the ordinary course of business. It may receive claims from third parties asserting, among other things, infringement of their intellectual property rights, defamation, labor and employment rights, privacy,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Terrestrial Energy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i/>
          <w:sz w:val="20"/>
        </w:rPr>
      </w:pPr>
      <w:r>
        <w:rPr>
          <w:rFonts w:ascii="Times New Roman;Times;serif" w:hAnsi="Times New Roman;Times;serif"/>
          <w:b/>
          <w:i/>
          <w:sz w:val="20"/>
        </w:rPr>
        <w:t>(in thousands, except share data or otherwise stated)</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(Unaudited)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contractual rights. There are no currently pending legal proceedings that the Company believes will have a material adverse impact on the business or condensed consolidated financial statements.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12. Subsequent Events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evaluated subsequent events from June 30, 2026, the date of these condensed consolidated financial statements, through August 11, 2026, the issuance date of these condensed consolidated financial statements for events requiring recognition or disclosure in the condensed consolidated financial statements. The Company concluded that no events have occurred that would require recognition or disclosure in the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 Management’s Discussion and Analysis of Financial Condition and Results of Operations</w:t>
      </w:r>
      <w:bookmarkStart w:id="10" w:name="Item2ManagementsDiscussionandAnalysisofF"/>
      <w:bookmarkEnd w:id="10"/>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Unless the context otherwise requires, all references in this section to “we”, “us”, “our”, its”, “Terrestrial Energy”, or the “Company” refer to Terrestrial Energy Inc. and its subsidiaries.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The following discussion and analysis of our financial condition and results of operations for the three and six months ended June 30, 2026 and 2025, should be read together with our unaudited condensed consolidated financial statements and related notes included elsewhere in this Quarterly Report and in conjunction with the audited consolidated financial statements and notes thereto included in our Annual Report on Form 10-K for the fiscal year ended December 31, 2025, which was filed on March 30, 2026. The following discussion contains “forward-looking statements” that reflect our future plans, estimates, beliefs and expected performance. Our actual results may differ materially from those currently anticipated and expressed in such forward-looking statements as a result of a number of factors. We caution that assumptions, expectations, projections, intentions or beliefs about future events may, and often do, vary from actual results and the differences can be material. All amounts in the below discussion and analysis are in thousands except share and per share data or where otherwise noted.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Terrestrial Energy Inc. is an advanced nuclear technology company developing the Integral Molten Salt Reactor nuclear plant, which uses the Company’s proprietary design of Generation IV reactor technology. The IMSR Plant is designed to offer large improvements in affordability and utility of nuclear plants and by extension the cost competitiveness of nuclear energy supply when compared to plants built using Light Water Reactor technology as well as other Generation IV technology.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IMSR Plant uses molten salt reactor technology, which is characterized by its distinctive use of a molten salt eutectic that acts as both nuclear fuel and reactor coolant. This approach enables stable, high-temperature reactor operation, which supports high-efficiency electricity generation using steam turbines as well as direct use as a supply of thermal energy for industrial plant operators seeking clean energy alternatives to fossil fuel combustion in industrial processes.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estimates that the operational advantages accruing from reactor technology and plant design choices place the IMSR Plant competitively in a large and growing serviceable addressable market valued at $1.6 trillion today in Organization for Economic Co-operation and Development (OECD) countries. This market includes both clean, firm, and high-temperature thermal energy, and grid-based electric power supply, across a wide range of industrial and grid applications.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its choice of long-proven molten salt reactor technology for the IMSR Plant, designed within a pragmatic and market-focused innovative process that includes the use of standard nuclear fuel, delivers a market-competitive product in a compelling time frame. The IMSR Plant is scheduled for first commercial operation by the mid-2030s, and fleet operation commencing in the late 2030s.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that timing of IMSR Plant development is aligned with changes in market demand for nuclear energy and nuclear reactor innovation. These are driven by major industrial innovations in other industrial sectors, by national energy supply insecurity, elevated by the conflict in Ukraine and the conflict in Iran, by national energy policy objectives particularly in the US, and by a broad realization that net-zero is not feasible without a massive expansion in nuclear energy supply as evidenced by declarations at COP28 in Dubai.</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Corporate History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HCM II Acquisition Corp. (“HCM II”) was a special purpose acquisition company incorporated on April 4, 2024, as a Cayman Islands exempted corporation for the purpose of effecting a merger, share exchange, asset acquisition, stock purchase, reorganization, or similar business combination with one or more businesses. On October 23, 2025, HCM II domesticated as a Delaware corporation and changed its name to “Terrestrial Energy Inc.” (the “Company”). On October 28, 2025, pursuant to the Business Combination Agreement, dated as of March 26, 2025, as amended, the Company completed the Business Combination with Terrestrial Energy Development Inc., (“TEDI”), a Delaware corporation, with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TEDI surviving as a wholly owned subsidiary of the Company. Following the Business Combination, the Company became a holding company whose operations are conducted through TEDI and whose primary asset is its equity interest in TEDI.  For accounting and financial reporting purposes, the Business Combination was accounted for as a reverse recapitalization, with TEDI treated as the accounting acquirer and HCM II treated as the accounting acquiree. </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In December 2025 and January 2026, the Company executed two OTA agreements with the DOE under programs established by Executive Order 14301. The first agreement, for Project TETRA under the DOE's Advanced Reactor Pilot Program, provides for the construction and operation of a pilot reactor utilizing the Company's IMSR technology and SALEU fuel, enabling the Company to advance from design to operation under DOE authorization outside traditional federal contracting constraints. The second agreement, for Project TEFLA under the DOE's Fuel Line Pilot Program, provides for a pilot production facility to demonstrate the Company's proprietary IMSR Fuel Salt production technology using SALEU feedstock. Fuel produced under Project TEFLA will support the Company’s Project TETRA test reactor project, being developed under DOE’s Advanced Reactor Pilot Program. Together, these agreements are intended to support the commercialization of the Company's IMSR Plant.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April 23, 2026, the Company announced the submission of a foundational safety analysis report to the U.S. Nuclear Regulatory Commission (NRC) defining the safety events the IMSR is designed to withstand. This submission is a required step toward NRC issuance of a Safety Evaluation Report and future licensing applications for IMSR plant operations. This submission builds on prior regulatory milestones, including the NRC’s issuance of a Safety Evaluation for the IMSR’s Principal Design Criteria in September 2025. Together, these foundational elements establish critical components of the IMSR licensing basis and support continued advancement toward deployment including validation of key design attributes such as inherent reactivity control that delivers a reactor with inherently stable power dynamics.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6, 2026, the Company announced a collaboration with Riot Platforms Inc. (“Riot”) to develop nuclear-powered large-scale data center projects. This partnership combines Terrestrial Energy’s nuclear plant design and licensing expertise with Riot’s expertise in data center design, development, and operations. Riot’s veteran data center development team has experience developing and delivering hyperscale data centers with collective experience spanning design, engineering, construction, operations, marketing, and leasing. Terrestrial Energy and Riot will evaluate scaling optimized configurations of IMSR Plant power supply and data center operations at candidate sites utilizing Riot’s completed data center Basis of Design optimized for large-scale hyperscale tenants.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12, 2026, the Company announced the NRC issued its Safety Evaluation Report (SER) approving the Company’s Postulated Initiating Events (PIE) Topical Report, following the NRC’s acceptance of the Company’s final Topical Report submission in April 2026. The NRC’s SER issuance is an approval of Terrestrial Energy’s PIE methodology, which identifies and evaluates events that may challenge the safe operation of IMSR nuclear plant. This analysis is foundational to nuclear safety analysis and represents another important regulatory milestone as Terrestrial Energy executes on its nuclear regulatory program.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June 18, 2026, the Company signed ground lease and R&amp;D agreements with Texas A&amp;M University System. These agreements provide exclusive access and rights to approximately 77 acres at the Texas A&amp;M-RELLIS campus in Bryan, Texas, facilitate testing activities, and cover multiple projects, including the planned commercial IMSR Plan at A&amp;M-RELLIS.</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 (in thousands, except for share data)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 the three and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tables set forth our condensed consolidated statements of operations for the three and six month periods ended June 30, 2026 and 2025, and the dollar and percentage change between the two periods:</w:t>
      </w:r>
    </w:p>
    <w:p>
      <w:pPr>
        <w:pStyle w:val="TextBody"/>
        <w:bidi w:val="0"/>
        <w:spacing w:before="0" w:after="240"/>
        <w:ind w:left="0" w:right="0" w:hanging="0"/>
        <w:jc w:val="both"/>
        <w:rPr/>
      </w:pPr>
      <w:r>
        <w:rPr/>
        <w:t>​</w:t>
      </w:r>
    </w:p>
    <w:tbl>
      <w:tblPr>
        <w:tblW w:w="7882" w:type="dxa"/>
        <w:jc w:val="left"/>
        <w:tblInd w:w="0" w:type="dxa"/>
        <w:tblLayout w:type="fixed"/>
        <w:tblCellMar>
          <w:top w:w="0" w:type="dxa"/>
          <w:left w:w="0" w:type="dxa"/>
          <w:bottom w:w="0" w:type="dxa"/>
          <w:right w:w="0" w:type="dxa"/>
        </w:tblCellMar>
      </w:tblPr>
      <w:tblGrid>
        <w:gridCol w:w="2761"/>
        <w:gridCol w:w="346"/>
        <w:gridCol w:w="211"/>
        <w:gridCol w:w="796"/>
        <w:gridCol w:w="346"/>
        <w:gridCol w:w="211"/>
        <w:gridCol w:w="691"/>
        <w:gridCol w:w="346"/>
        <w:gridCol w:w="841"/>
        <w:gridCol w:w="146"/>
        <w:gridCol w:w="871"/>
        <w:gridCol w:w="316"/>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753235" cy="175260"/>
                      <wp:effectExtent l="0" t="0" r="0" b="0"/>
                      <wp:wrapNone/>
                      <wp:docPr id="181" name="Frame181"/>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05460" cy="175260"/>
                      <wp:effectExtent l="0" t="0" r="0" b="0"/>
                      <wp:wrapNone/>
                      <wp:docPr id="184" name="Frame18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38785" cy="175260"/>
                      <wp:effectExtent l="0" t="0" r="0" b="0"/>
                      <wp:wrapNone/>
                      <wp:docPr id="187" name="Frame1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534035" cy="175260"/>
                      <wp:effectExtent l="0" t="0" r="0" b="0"/>
                      <wp:wrapNone/>
                      <wp:docPr id="189" name="Frame189"/>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92710" cy="175260"/>
                      <wp:effectExtent l="0" t="0" r="0" b="0"/>
                      <wp:wrapNone/>
                      <wp:docPr id="190" name="Frame190"/>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553085" cy="175260"/>
                      <wp:effectExtent l="0" t="0" r="0" b="0"/>
                      <wp:wrapNone/>
                      <wp:docPr id="191" name="Frame19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0660" cy="175260"/>
                      <wp:effectExtent l="0" t="0" r="0" b="0"/>
                      <wp:wrapNone/>
                      <wp:docPr id="192" name="Frame19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45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14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w:t>
            </w:r>
          </w:p>
        </w:tc>
        <w:tc>
          <w:tcPr>
            <w:tcW w:w="316" w:type="dxa"/>
            <w:tcBorders/>
            <w:vAlign w:val="center"/>
          </w:tcPr>
          <w:p>
            <w:pPr>
              <w:pStyle w:val="TableContents"/>
              <w:bidi w:val="0"/>
              <w:spacing w:before="0" w:after="1"/>
              <w:ind w:left="0" w:right="0" w:hanging="0"/>
              <w:jc w:val="center"/>
              <w:rPr/>
            </w:pPr>
            <w:r>
              <w:rPr/>
              <w:t>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2,057</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8,029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198</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(11,672)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(5,170)</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(6,502)</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2,473</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30,913</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(267)</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(1,079)</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3,430</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(318)</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(9,321)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(3,072)</w:t>
            </w:r>
          </w:p>
        </w:tc>
        <w:tc>
          <w:tcPr>
            <w:tcW w:w="146" w:type="dxa"/>
            <w:tcBorders/>
            <w:vAlign w:val="center"/>
          </w:tcPr>
          <w:p>
            <w:pPr>
              <w:pStyle w:val="TableContents"/>
              <w:bidi w:val="0"/>
              <w:spacing w:before="0" w:after="1"/>
              <w:ind w:left="0" w:right="0" w:hanging="0"/>
              <w:jc w:val="left"/>
              <w:rPr/>
            </w:pPr>
            <w:r>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146" w:type="dxa"/>
            <w:tcBorders/>
            <w:shd w:fill="CCEEFF" w:val="clear"/>
            <w:vAlign w:val="center"/>
          </w:tcPr>
          <w:p>
            <w:pPr>
              <w:pStyle w:val="TableContents"/>
              <w:bidi w:val="0"/>
              <w:spacing w:before="0" w:after="1"/>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(9,399)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(6,249)</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(3,150)</w:t>
            </w:r>
          </w:p>
        </w:tc>
        <w:tc>
          <w:tcPr>
            <w:tcW w:w="146" w:type="dxa"/>
            <w:tcBorders/>
            <w:vAlign w:val="center"/>
          </w:tcPr>
          <w:p>
            <w:pPr>
              <w:pStyle w:val="TableContents"/>
              <w:bidi w:val="0"/>
              <w:spacing w:before="0" w:after="1"/>
              <w:ind w:left="0" w:right="0" w:hanging="0"/>
              <w:jc w:val="left"/>
              <w:rPr/>
            </w:pPr>
            <w:r>
              <w:rPr/>
              <w:t> </w:t>
            </w:r>
          </w:p>
        </w:tc>
        <w:tc>
          <w:tcPr>
            <w:tcW w:w="8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8578" w:type="dxa"/>
        <w:jc w:val="left"/>
        <w:tblInd w:w="0" w:type="dxa"/>
        <w:tblLayout w:type="fixed"/>
        <w:tblCellMar>
          <w:top w:w="0" w:type="dxa"/>
          <w:left w:w="0" w:type="dxa"/>
          <w:bottom w:w="0" w:type="dxa"/>
          <w:right w:w="0" w:type="dxa"/>
        </w:tblCellMar>
      </w:tblPr>
      <w:tblGrid>
        <w:gridCol w:w="2761"/>
        <w:gridCol w:w="346"/>
        <w:gridCol w:w="211"/>
        <w:gridCol w:w="796"/>
        <w:gridCol w:w="346"/>
        <w:gridCol w:w="211"/>
        <w:gridCol w:w="796"/>
        <w:gridCol w:w="346"/>
        <w:gridCol w:w="841"/>
        <w:gridCol w:w="346"/>
        <w:gridCol w:w="916"/>
        <w:gridCol w:w="271"/>
        <w:gridCol w:w="39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753235" cy="175260"/>
                      <wp:effectExtent l="0" t="0" r="0" b="0"/>
                      <wp:wrapNone/>
                      <wp:docPr id="193" name="Frame193"/>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19710" cy="175260"/>
                      <wp:effectExtent l="0" t="0" r="0" b="0"/>
                      <wp:wrapNone/>
                      <wp:docPr id="194" name="Frame1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95" name="Frame1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505460" cy="175260"/>
                      <wp:effectExtent l="0" t="0" r="0" b="0"/>
                      <wp:wrapNone/>
                      <wp:docPr id="196" name="Frame19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05460" cy="175260"/>
                      <wp:effectExtent l="0" t="0" r="0" b="0"/>
                      <wp:wrapNone/>
                      <wp:docPr id="199" name="Frame19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534035" cy="175260"/>
                      <wp:effectExtent l="0" t="0" r="0" b="0"/>
                      <wp:wrapNone/>
                      <wp:docPr id="201" name="Frame20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202" name="Frame2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581660" cy="175260"/>
                      <wp:effectExtent l="0" t="0" r="0" b="0"/>
                      <wp:wrapNone/>
                      <wp:docPr id="203" name="Frame20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2085" cy="175260"/>
                      <wp:effectExtent l="0" t="0" r="0" b="0"/>
                      <wp:wrapNone/>
                      <wp:docPr id="204" name="Frame20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48285" cy="175260"/>
                      <wp:effectExtent l="0" t="0" r="0" b="0"/>
                      <wp:wrapNone/>
                      <wp:docPr id="205" name="Frame20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4809" w:type="dxa"/>
            <w:gridSpan w:val="9"/>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271" w:type="dxa"/>
            <w:tcBorders/>
            <w:vAlign w:val="center"/>
          </w:tcPr>
          <w:p>
            <w:pPr>
              <w:pStyle w:val="TableContents"/>
              <w:bidi w:val="0"/>
              <w:spacing w:before="0" w:after="1"/>
              <w:ind w:left="0" w:right="0" w:hanging="0"/>
              <w:jc w:val="center"/>
              <w:rPr/>
            </w:pPr>
            <w:r>
              <w:rPr/>
              <w:t>​</w:t>
            </w:r>
          </w:p>
        </w:tc>
        <w:tc>
          <w:tcPr>
            <w:tcW w:w="391" w:type="dxa"/>
            <w:tcBorders/>
            <w:vAlign w:val="center"/>
          </w:tcPr>
          <w:p>
            <w:pPr>
              <w:pStyle w:val="TableContents"/>
              <w:bidi w:val="0"/>
              <w:spacing w:before="0" w:after="1"/>
              <w:ind w:left="0" w:right="0" w:hanging="0"/>
              <w:jc w:val="center"/>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346" w:type="dxa"/>
            <w:tcBorders/>
            <w:vAlign w:val="center"/>
          </w:tcPr>
          <w:p>
            <w:pPr>
              <w:pStyle w:val="TableContents"/>
              <w:bidi w:val="0"/>
              <w:spacing w:before="0" w:after="1"/>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 % </w:t>
            </w:r>
          </w:p>
        </w:tc>
        <w:tc>
          <w:tcPr>
            <w:tcW w:w="271" w:type="dxa"/>
            <w:tcBorders/>
            <w:vAlign w:val="center"/>
          </w:tcPr>
          <w:p>
            <w:pPr>
              <w:pStyle w:val="TableContents"/>
              <w:bidi w:val="0"/>
              <w:spacing w:before="0" w:after="1"/>
              <w:ind w:left="0" w:right="0" w:hanging="0"/>
              <w:jc w:val="center"/>
              <w:rPr/>
            </w:pPr>
            <w:r>
              <w:rPr/>
              <w:t> </w:t>
            </w:r>
          </w:p>
        </w:tc>
        <w:tc>
          <w:tcPr>
            <w:tcW w:w="391" w:type="dxa"/>
            <w:tcBorders/>
            <w:vAlign w:val="center"/>
          </w:tcPr>
          <w:p>
            <w:pPr>
              <w:pStyle w:val="TableContents"/>
              <w:bidi w:val="0"/>
              <w:spacing w:before="0" w:after="1"/>
              <w:ind w:left="0" w:right="0" w:hanging="0"/>
              <w:jc w:val="left"/>
              <w:rPr/>
            </w:pPr>
            <w:r>
              <w:rPr/>
              <w:t>  ​ ​ ​</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 costs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8,064</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2,849</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5,215</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6,820</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8,513</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379</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(23,603)</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(10,048)</w:t>
            </w:r>
          </w:p>
        </w:tc>
        <w:tc>
          <w:tcPr>
            <w:tcW w:w="34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(13,555)</w:t>
            </w:r>
          </w:p>
        </w:tc>
        <w:tc>
          <w:tcPr>
            <w:tcW w:w="34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left"/>
              <w:rPr/>
            </w:pPr>
            <w:r>
              <w:rPr/>
              <w:t>​</w:t>
            </w:r>
          </w:p>
        </w:tc>
        <w:tc>
          <w:tcPr>
            <w:tcW w:w="271" w:type="dxa"/>
            <w:tcBorders/>
            <w:shd w:fill="CCEEFF" w:val="clear"/>
            <w:vAlign w:val="center"/>
          </w:tcPr>
          <w:p>
            <w:pPr>
              <w:pStyle w:val="TableContents"/>
              <w:bidi w:val="0"/>
              <w:spacing w:before="0" w:after="1"/>
              <w:ind w:left="0" w:right="0" w:hanging="0"/>
              <w:jc w:val="left"/>
              <w:rPr/>
            </w:pPr>
            <w:r>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Government grants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(2,537)</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 – related party</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162</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and dividend income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3,923</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35,664</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exchange (loss) gain</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(2,453)</w:t>
            </w:r>
          </w:p>
        </w:tc>
        <w:tc>
          <w:tcPr>
            <w:tcW w:w="346" w:type="dxa"/>
            <w:tcBorders/>
            <w:shd w:fill="CCEEFF" w:val="clear"/>
            <w:vAlign w:val="center"/>
          </w:tcPr>
          <w:p>
            <w:pPr>
              <w:pStyle w:val="TableContents"/>
              <w:bidi w:val="0"/>
              <w:spacing w:before="0" w:after="1"/>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shd w:fill="CCEEFF" w:val="clear"/>
            <w:vAlign w:val="center"/>
          </w:tcPr>
          <w:p>
            <w:pPr>
              <w:pStyle w:val="TableContents"/>
              <w:bidi w:val="0"/>
              <w:spacing w:before="0" w:after="1"/>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 before income taxes</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(19,787)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4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(7,286)</w:t>
            </w:r>
          </w:p>
        </w:tc>
        <w:tc>
          <w:tcPr>
            <w:tcW w:w="346" w:type="dxa"/>
            <w:tcBorders/>
            <w:vAlign w:val="center"/>
          </w:tcPr>
          <w:p>
            <w:pPr>
              <w:pStyle w:val="TableContents"/>
              <w:bidi w:val="0"/>
              <w:spacing w:before="0" w:after="1"/>
              <w:ind w:left="0" w:right="0" w:hanging="0"/>
              <w:jc w:val="left"/>
              <w:rPr/>
            </w:pPr>
            <w:r>
              <w:rPr/>
              <w:t> </w:t>
            </w:r>
          </w:p>
        </w:tc>
        <w:tc>
          <w:tcPr>
            <w:tcW w:w="9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r>
        <w:trPr/>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w:t>
            </w:r>
          </w:p>
        </w:tc>
        <w:tc>
          <w:tcPr>
            <w:tcW w:w="346" w:type="dxa"/>
            <w:tcBorders/>
            <w:shd w:fill="CCEEFF" w:val="clear"/>
            <w:vAlign w:val="center"/>
          </w:tcPr>
          <w:p>
            <w:pPr>
              <w:pStyle w:val="TableContents"/>
              <w:bidi w:val="0"/>
              <w:spacing w:before="0" w:after="1"/>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276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(19,902)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(12,501)</w:t>
            </w:r>
          </w:p>
        </w:tc>
        <w:tc>
          <w:tcPr>
            <w:tcW w:w="346" w:type="dxa"/>
            <w:tcBorders/>
            <w:vAlign w:val="center"/>
          </w:tcPr>
          <w:p>
            <w:pPr>
              <w:pStyle w:val="TableContents"/>
              <w:bidi w:val="0"/>
              <w:spacing w:before="0" w:after="1"/>
              <w:ind w:left="0" w:right="0" w:hanging="0"/>
              <w:jc w:val="left"/>
              <w:rPr/>
            </w:pPr>
            <w:r>
              <w:rPr/>
              <w:t> </w:t>
            </w:r>
          </w:p>
        </w:tc>
        <w:tc>
          <w:tcPr>
            <w:tcW w:w="8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(7,401)</w:t>
            </w:r>
          </w:p>
        </w:tc>
        <w:tc>
          <w:tcPr>
            <w:tcW w:w="346" w:type="dxa"/>
            <w:tcBorders/>
            <w:vAlign w:val="center"/>
          </w:tcPr>
          <w:p>
            <w:pPr>
              <w:pStyle w:val="TableContents"/>
              <w:bidi w:val="0"/>
              <w:spacing w:before="0" w:after="1"/>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expenses represent costs incurred for designing and engineering the IMSR Plant, including the costs of developing design tools. All research and development costs related to product development are expensed as incurred.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R&amp;D expense for the three months ended June 30, 2026 and 2025 was $3,498 and $1,441, respectively. R&amp;D expense for the six months ended June 30, 2026 and 2025 was $8,064 and $2,849, respectively. The increase is attributed to an increase in R&amp;D activities performed relating to the IMSR project, compared to 2025, as the Company continues to increase its fuel and graphite testing along with headcount additions to support commercialization activities.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consist of costs, such as rent or lease costs, legal, audit and accounting services, and other professional fees, marketing costs, stock compensation, as well as personnel-related expenses for employees, executives and contractors.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 for the three months ended June 30, 2026 and 2025 was $8,029 and $3,531, respectively. General and administrative expense for the six months ended June 30, 2026 and 2025 was $15,333 and $6,820, respectively. The increase is primarily attributable to additional stock-based compensation expense associated with stock options and restricted stock units issued, along with overall operational growth including headcount as part of the business growth strategy.</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consists primarily of depreciation of our computer software and equipment and amortization of our patents and 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for the three months ended June 30, 2026 and 2025 was $145 and $198, respectively. Depreciation and amortization expense for the six months ended June 30, 2026 and 2025 was $206 and $379, respectively. The decrease is attributed to a reduction in total net depreciable fixed assets, as the Company had assets which were fully depreciated in fiscal 2025.</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Other Income and Expenses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Interest expense and Interest expense — Related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Interest expense and interest expense — related parties decreased by $1,329, or 100%, when comparing the results for the three months ended June 30, 2026 and 2025, and by $2,697, or 100%, when comparing the results for the six months ended June 30, 2026 and 2025. The decrease was primarily due to conversion of convertible notes by the Company in the fourth quarter of 2025, resulting in no debt outstanding or accruing interest in the first two quarters of 2026. </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Interest and Dividend Income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and dividend income increased by $2,473 for the three months ended June 30, 2026 when compared to the same period in 2025, and by $3,923 for the six months ended June 30, 2026 when compared to the same period in 2025, as a result of higher short-term investment and long-term investment balances.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Historically, the Company’s primary sources of liquidity have been cash flows from private fundraising offerings to related parties or other investors and other financing activities to fund operations. For the six months ended June 30, 2026 and 2025, the Company reported operating losses of $23,603 and $10,048, respectively, and negative cash flows from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operations of $14,794 and $6,885, respectively. As of June 30, 2026, the Company had $130,737 in cash and cash equivalents and $142,781 in short-term investments. The Company had net working capital of $268,621 and an accumulated deficit of $144,527. Management expects that significant on-going expenditures will be necessary to successfully implement our business plan.</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 commenced trading on Nasdaq under the symbol “IMSR” on October 29, 2025, after completing its business combination with HCM II on October 28, 2025. Pursuant to the closing of the business combination, the Company received in excess of $292,000 in gross proceeds before expenses, which included gross proceeds of $50,000 from the sale of common stock in a private placement (the “PIPE”) and approximately $242,000 from HCM II’s trust account following redemptions of less than 1%.</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Company’s future capital requirements will depend on many factors, including the timing and extent of spending to support further sales and marketing, research and development efforts, the Company’s commercial development and deployment of its IMSR Plants, and future revenues. The Company may seek to obtain additional financing to commercialize the IMSR Plant technology through possible public or private equity offerings, debt financings, corporate collaborations, and other means. We believe that we have sufficient cash and cash equivalents and investments, along with continued access to capital markets, to satisfy our cash requirements for the next 12 months from the issuance date of these condensed consolidated financial statements after August 11, 2026 and beyond based on current operating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flows for the six months ended June 30, 2026 and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cash flows from operating, investing and financing activities for the six months ended June 30, 2026 and 2025:</w:t>
      </w:r>
    </w:p>
    <w:tbl>
      <w:tblPr>
        <w:tblW w:w="7193" w:type="dxa"/>
        <w:jc w:val="center"/>
        <w:tblInd w:w="0" w:type="dxa"/>
        <w:tblLayout w:type="fixed"/>
        <w:tblCellMar>
          <w:top w:w="0" w:type="dxa"/>
          <w:left w:w="0" w:type="dxa"/>
          <w:bottom w:w="0" w:type="dxa"/>
          <w:right w:w="0" w:type="dxa"/>
        </w:tblCellMar>
      </w:tblPr>
      <w:tblGrid>
        <w:gridCol w:w="4201"/>
        <w:gridCol w:w="346"/>
        <w:gridCol w:w="211"/>
        <w:gridCol w:w="796"/>
        <w:gridCol w:w="346"/>
        <w:gridCol w:w="211"/>
        <w:gridCol w:w="691"/>
        <w:gridCol w:w="39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667635" cy="175260"/>
                      <wp:effectExtent l="0" t="0" r="0" b="0"/>
                      <wp:wrapNone/>
                      <wp:docPr id="206" name="Frame206"/>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219710" cy="175260"/>
                      <wp:effectExtent l="0" t="0" r="0" b="0"/>
                      <wp:wrapNone/>
                      <wp:docPr id="207" name="Frame2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133985" cy="175260"/>
                      <wp:effectExtent l="0" t="0" r="0" b="0"/>
                      <wp:wrapNone/>
                      <wp:docPr id="208" name="Frame2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505460" cy="175260"/>
                      <wp:effectExtent l="0" t="0" r="0" b="0"/>
                      <wp:wrapNone/>
                      <wp:docPr id="209" name="Frame209"/>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33985" cy="175260"/>
                      <wp:effectExtent l="0" t="0" r="0" b="0"/>
                      <wp:wrapNone/>
                      <wp:docPr id="211" name="Frame2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438785" cy="175260"/>
                      <wp:effectExtent l="0" t="0" r="0" b="0"/>
                      <wp:wrapNone/>
                      <wp:docPr id="212" name="Frame21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48285" cy="175260"/>
                      <wp:effectExtent l="0" t="0" r="0" b="0"/>
                      <wp:wrapNone/>
                      <wp:docPr id="213" name="Frame213"/>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c>
          <w:tcPr>
            <w:tcW w:w="391" w:type="dxa"/>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5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before="0" w:after="1"/>
              <w:ind w:left="0" w:right="0" w:hanging="0"/>
              <w:jc w:val="center"/>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 thousands)</w:t>
            </w:r>
          </w:p>
        </w:tc>
        <w:tc>
          <w:tcPr>
            <w:tcW w:w="346" w:type="dxa"/>
            <w:tcBorders/>
            <w:vAlign w:val="center"/>
          </w:tcPr>
          <w:p>
            <w:pPr>
              <w:pStyle w:val="TableContents"/>
              <w:bidi w:val="0"/>
              <w:spacing w:before="0" w:after="1"/>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before="0" w:after="1"/>
              <w:ind w:left="0" w:right="0" w:hanging="0"/>
              <w:jc w:val="center"/>
              <w:rPr/>
            </w:pPr>
            <w:r>
              <w:rPr/>
              <w:t>  ​ ​ ​</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(14,794)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(6,885)</w:t>
            </w:r>
          </w:p>
        </w:tc>
        <w:tc>
          <w:tcPr>
            <w:tcW w:w="391" w:type="dxa"/>
            <w:tcBorders/>
            <w:shd w:fill="CCEEFF" w:val="clear"/>
            <w:vAlign w:val="center"/>
          </w:tcPr>
          <w:p>
            <w:pPr>
              <w:pStyle w:val="TableContents"/>
              <w:bidi w:val="0"/>
              <w:spacing w:before="0" w:after="1"/>
              <w:ind w:left="0" w:right="0" w:hanging="0"/>
              <w:jc w:val="left"/>
              <w:rPr/>
            </w:pPr>
            <w:r>
              <w:rPr/>
              <w:t>​</w:t>
            </w:r>
          </w:p>
        </w:tc>
      </w:tr>
      <w:tr>
        <w:trPr/>
        <w:tc>
          <w:tcPr>
            <w:tcW w:w="42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investing activities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48,450</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(552)</w:t>
            </w:r>
          </w:p>
        </w:tc>
        <w:tc>
          <w:tcPr>
            <w:tcW w:w="391" w:type="dxa"/>
            <w:tcBorders/>
            <w:vAlign w:val="center"/>
          </w:tcPr>
          <w:p>
            <w:pPr>
              <w:pStyle w:val="TableContents"/>
              <w:bidi w:val="0"/>
              <w:spacing w:before="0" w:after="1"/>
              <w:ind w:left="0" w:right="0" w:hanging="0"/>
              <w:jc w:val="left"/>
              <w:rPr/>
            </w:pPr>
            <w:r>
              <w:rPr/>
              <w:t>​</w:t>
            </w:r>
          </w:p>
        </w:tc>
      </w:tr>
      <w:tr>
        <w:trPr/>
        <w:tc>
          <w:tcPr>
            <w:tcW w:w="42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36,695</w:t>
            </w:r>
          </w:p>
        </w:tc>
        <w:tc>
          <w:tcPr>
            <w:tcW w:w="3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used in 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$14,794 compared to $6,885 for the six months ended June 30, 2025, an increase of $7,909. The increase was primarily due to an increase in the Company’s operating loss after non-cash items. The cause of the increase in the Company’s operating loss was an increase in engineering costs and general and administrative costs as discussed above.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provided by (used in) 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for the six months ended June 30, 2026 was $48,450 compared to net cash used in investing activities of $552 for the six months ended June 30, 2025. The increase was primarily related to redemptions of short-term investments, partially offset by purchases of short-term and long-term investments.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flows provided by 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provided by financing activities for the six months ended June 30, 2026 was $140 compared to $36,695 for the six months ended June 30, 2025, a decrease of $36,555. The decrease was a result of issuances of convertible notes of $10,985 and the $25,797 advanced proceeds received relating to shares of Preferred Stock prior to the closing of private placement in the six months ended June 30, 2025 as compared to $0 in the current period.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does not have any off-balance sheet arrangements that have, or are reasonably likely to have, a material current or future effect on its financial condition, changes in financial condition, revenues, expenses, results of operations, liquidity, capital expenditures or capital resources.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Part II, Item 7, Management’s Discussion and Analysis of Financial Condition and Results of Operation in our Annual Report on Form 10-K for the fiscal year ended December 31, 2025 provides a more complete discussion of our critical accounting policies and estimates.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Recently Adopted Accounting Standards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has been no adoption of any new accounting pronouncements.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Emerging Growth Company Status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April 2012, the JOBS Act was enacted. Section 107(b) of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take advantage of the extended transition period to comply with new or revised accounting standards and to adopt certain of the reduced disclosure requirements available to emerging growth companies. As a result of the accounting standards election, the Company will not be subject to the same implementation timing for new or revised accounting standards as other public companies that are not emerging growth companies which may make comparison of its financials to those of other public companies more difficult.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expects to retain its emerging growth company status until the earliest of:</w:t>
      </w:r>
    </w:p>
    <w:tbl>
      <w:tblPr>
        <w:tblW w:w="6318" w:type="dxa"/>
        <w:jc w:val="left"/>
        <w:tblInd w:w="0" w:type="dxa"/>
        <w:tblLayout w:type="fixed"/>
        <w:tblCellMar>
          <w:top w:w="0" w:type="dxa"/>
          <w:left w:w="0" w:type="dxa"/>
          <w:bottom w:w="0" w:type="dxa"/>
          <w:right w:w="0" w:type="dxa"/>
        </w:tblCellMar>
      </w:tblPr>
      <w:tblGrid>
        <w:gridCol w:w="23"/>
        <w:gridCol w:w="170"/>
        <w:gridCol w:w="612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12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its annual revenues exceed $1.2</w:t>
            </w:r>
            <w:r>
              <w:rPr>
                <w:caps w:val="false"/>
                <w:smallCaps w:val="false"/>
              </w:rPr>
              <w:t> </w:t>
            </w:r>
            <w:r>
              <w:rPr>
                <w:rFonts w:ascii="Times New Roman;Times;serif" w:hAnsi="Times New Roman;Times;serif"/>
                <w:b w:val="false"/>
                <w:i w:val="false"/>
                <w:caps w:val="false"/>
                <w:smallCaps w:val="false"/>
                <w:sz w:val="20"/>
              </w:rPr>
              <w:t>billion;</w:t>
            </w:r>
          </w:p>
        </w:tc>
      </w:tr>
    </w:tbl>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4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end of the fiscal</w:t>
            </w:r>
            <w:r>
              <w:rPr>
                <w:caps w:val="false"/>
                <w:smallCaps w:val="false"/>
              </w:rPr>
              <w:t> </w:t>
            </w:r>
            <w:r>
              <w:rPr>
                <w:rFonts w:ascii="Times New Roman;Times;serif" w:hAnsi="Times New Roman;Times;serif"/>
                <w:b w:val="false"/>
                <w:i w:val="false"/>
                <w:caps w:val="false"/>
                <w:smallCaps w:val="false"/>
                <w:sz w:val="20"/>
              </w:rPr>
              <w:t>year in which the fifth anniversary of its public company registration has occurred;</w:t>
            </w:r>
          </w:p>
        </w:tc>
      </w:tr>
    </w:tbl>
    <w:tbl>
      <w:tblPr>
        <w:tblW w:w="10053" w:type="dxa"/>
        <w:jc w:val="left"/>
        <w:tblInd w:w="0" w:type="dxa"/>
        <w:tblLayout w:type="fixed"/>
        <w:tblCellMar>
          <w:top w:w="0" w:type="dxa"/>
          <w:left w:w="0" w:type="dxa"/>
          <w:bottom w:w="0" w:type="dxa"/>
          <w:right w:w="0" w:type="dxa"/>
        </w:tblCellMar>
      </w:tblPr>
      <w:tblGrid>
        <w:gridCol w:w="23"/>
        <w:gridCol w:w="170"/>
        <w:gridCol w:w="9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date on which it has issued more than $1.0</w:t>
            </w:r>
            <w:r>
              <w:rPr>
                <w:caps w:val="false"/>
                <w:smallCaps w:val="false"/>
              </w:rPr>
              <w:t> </w:t>
            </w:r>
            <w:r>
              <w:rPr>
                <w:rFonts w:ascii="Times New Roman;Times;serif" w:hAnsi="Times New Roman;Times;serif"/>
                <w:b w:val="false"/>
                <w:i w:val="false"/>
                <w:caps w:val="false"/>
                <w:smallCaps w:val="false"/>
                <w:sz w:val="20"/>
              </w:rPr>
              <w:t>billion in non-convertible debt during the previous three-year period; and</w:t>
            </w:r>
          </w:p>
        </w:tc>
      </w:tr>
    </w:tbl>
    <w:tbl>
      <w:tblPr>
        <w:tblW w:w="4803" w:type="dxa"/>
        <w:jc w:val="left"/>
        <w:tblInd w:w="0" w:type="dxa"/>
        <w:tblLayout w:type="fixed"/>
        <w:tblCellMar>
          <w:top w:w="0" w:type="dxa"/>
          <w:left w:w="0" w:type="dxa"/>
          <w:bottom w:w="0" w:type="dxa"/>
          <w:right w:w="0" w:type="dxa"/>
        </w:tblCellMar>
      </w:tblPr>
      <w:tblGrid>
        <w:gridCol w:w="23"/>
        <w:gridCol w:w="17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it qualifies as a large accelerated filer.</w:t>
            </w:r>
          </w:p>
        </w:tc>
      </w:tr>
    </w:tbl>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Item 3. Quantitative and Qualitative Disclosures About Market Risk</w:t>
      </w:r>
      <w:bookmarkStart w:id="11" w:name="Item3QuantitativeandQualitativeDisclosur"/>
      <w:bookmarkEnd w:id="11"/>
    </w:p>
    <w:p>
      <w:pPr>
        <w:pStyle w:val="TextBody"/>
        <w:bidi w:val="0"/>
        <w:spacing w:before="0" w:after="16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Controls and Procedures</w:t>
      </w:r>
      <w:bookmarkStart w:id="12" w:name="Item4ControlsandProcedures_598182"/>
      <w:bookmarkEnd w:id="12"/>
    </w:p>
    <w:p>
      <w:pPr>
        <w:pStyle w:val="TextBody"/>
        <w:pBdr/>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Disclosure controls and procedures are controls and other procedures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the Company’s management, including our Chief Executive Officer and Chief Financial Officer (together, the “Certifying Officers”), or persons performing similar functions, as appropriate, to allow timely decisions regarding required disclosure.</w:t>
      </w:r>
    </w:p>
    <w:p>
      <w:pPr>
        <w:pStyle w:val="TextBody"/>
        <w:shd w:fill="FFFFFF" w:val="clear"/>
        <w:bidi w:val="0"/>
        <w:spacing w:before="0" w:after="0"/>
        <w:ind w:left="0" w:right="0" w:firstLine="720"/>
        <w:jc w:val="both"/>
        <w:rPr/>
      </w:pPr>
      <w:r>
        <w:rPr/>
        <w:t> </w:t>
      </w:r>
      <w:r>
        <w:rPr>
          <w:rFonts w:ascii="Times New Roman;Times;serif" w:hAnsi="Times New Roman;Times;serif"/>
          <w:sz w:val="20"/>
        </w:rPr>
        <w:t xml:space="preserve">Under the supervision and with the participation of our management, including our Certifying Officers, we carried out an evaluation of the effectiveness of the design and operation of our disclosure controls and procedures 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defined in Rules 13a-15(e) and 15d-15(e) under the Exchange Act. Based on the foregoing, our Certifying Officers concluded that our disclosure controls and procedures were effective as of the end of June 30, 2026. Accordingly, Management believes that the financial statements contained elsewhere in this Report present fairly in all material respects our financial position, results of operations and cash flows for the period presented.</w:t>
      </w:r>
    </w:p>
    <w:p>
      <w:pPr>
        <w:pStyle w:val="TextBody"/>
        <w:pBdr/>
        <w:shd w:fill="FFFFFF" w:val="clear"/>
        <w:bidi w:val="0"/>
        <w:spacing w:before="0" w:after="0"/>
        <w:ind w:left="0" w:right="0" w:firstLine="720"/>
        <w:jc w:val="both"/>
        <w:rPr/>
      </w:pPr>
      <w:r>
        <w:rPr/>
        <w:t> </w:t>
      </w:r>
      <w:r>
        <w:rPr>
          <w:rFonts w:ascii="Times New Roman;Times;serif" w:hAnsi="Times New Roman;Times;serif"/>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hd w:fill="FFFFFF" w:val="clear"/>
        <w:bidi w:val="0"/>
        <w:spacing w:before="0" w:after="0"/>
        <w:ind w:left="0" w:right="0" w:firstLine="72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shd w:fill="FFFFFF" w:val="clear"/>
        <w:bidi w:val="0"/>
        <w:spacing w:before="0" w:after="0"/>
        <w:ind w:left="0" w:right="0" w:hanging="0"/>
        <w:jc w:val="left"/>
        <w:rPr/>
      </w:pPr>
      <w:r>
        <w:rPr/>
        <w:t>​</w:t>
      </w:r>
    </w:p>
    <w:p>
      <w:pPr>
        <w:pStyle w:val="TextBody"/>
        <w:shd w:fill="FFFFFF" w:val="clear"/>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In connection with our continued monitoring and maintenance of our control procedures as part of the implementation of Section 404 of the Sarbanes-Oxley Act of 2002, as amended, we continue to review, test, and improve the effectiveness of our internal controls. There have not been any changes in our internal control over financial reporting (as such term is defined in Rules 13a-15(f) and 15d-15(f) under the Exchange Act) that occurred during the three months ended June 30, 2026 that have materially affected, or are reasonably likely to materially affect, our internal control over financial reporting.</w:t>
      </w:r>
    </w:p>
    <w:p>
      <w:pPr>
        <w:pStyle w:val="TextBody"/>
        <w:shd w:fill="FFFFFF" w:val="clear"/>
        <w:bidi w:val="0"/>
        <w:spacing w:before="0" w:after="240"/>
        <w:ind w:left="0" w:right="0" w:firstLine="72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PART II — OTHER INFORMATION</w:t>
      </w:r>
      <w:bookmarkStart w:id="13" w:name="PARTIIOTHERINFORMATION_690738"/>
      <w:bookmarkEnd w:id="13"/>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 Legal Proceedings</w:t>
      </w:r>
      <w:bookmarkStart w:id="14" w:name="Item1LegalProceedings_371811"/>
      <w:bookmarkEnd w:id="14"/>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From time to time, we may be subject to various claims, lawsuits and other legal and administrative proceedings that may arise in the ordinary course of business. Some of these claims, lawsuits and other proceedings may range in complexity and result in substantial uncertainty; it is possible that they may result in damages, fines, penalties, non-monetary sanctions, or relief. We currently do not have any claims, lawsuits, or proceedings against us that, individually or in the aggregate, would be considered material to our business or likely to result in a material adverse effect on our future operating results, financial condition, or cash flows.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1A. Risk Factors</w:t>
      </w:r>
      <w:bookmarkStart w:id="15" w:name="Item1ARiskFactors_559442"/>
      <w:bookmarkEnd w:id="15"/>
    </w:p>
    <w:p>
      <w:pPr>
        <w:pStyle w:val="TextBody"/>
        <w:bidi w:val="0"/>
        <w:spacing w:before="0" w:after="24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There are numerous factors that affect our business and operating results, many of which are beyond our control. Except as provided below, there are no material changes to the risk factors previously disclosed under the “Risk Factors” section in Terrestrial Energy Inc.’s Annual Report on Form 10-K for the fiscal year ended December 31,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 Unregistered Sales of Equity Securities and Use of Proceeds</w:t>
      </w:r>
      <w:bookmarkStart w:id="16" w:name="Item2UnregisteredSalesofEquitySecurities"/>
      <w:bookmarkEnd w:id="16"/>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3. Defaults Upon Senior Securities</w:t>
      </w:r>
      <w:bookmarkStart w:id="17" w:name="Item3DefaultsUponSeniorSecurities_814057"/>
      <w:bookmarkEnd w:id="17"/>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4. Mine Safety Disclosures</w:t>
      </w:r>
      <w:bookmarkStart w:id="18" w:name="Item4MineSafetyDisclosures_568459"/>
      <w:bookmarkEnd w:id="18"/>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5. Other Information</w:t>
      </w:r>
      <w:bookmarkStart w:id="19" w:name="Item5OtherInformation_644059"/>
      <w:bookmarkEnd w:id="19"/>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Rule 10b5-1 Trading Plans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stated below, none of the Company’s directors or executive officers adopted, modified or terminated any “Rule 10b5-1 trading arrangement” or any “non-Rule 10b5-1 trading arrangement,” as each term is defined in Item 408 of Regulation S-K, during the three months ended June 30, 2026: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10, 2026, Simon Irish, the Company’s Chief Executive Officer, adopted a Rule 10b5-1 trading arrangement (the “Trading Arrangement”) intended to satisfy the affirmative defense conditions of Rule 10b5-1(c) under the Exchange Act. The Trading Arrangement is intended to provide for “eligible sell-to-cover transactions” (as described in Rule10b5-(c)(1)(ii)(D)(3) under the Exchange Act) to satisfy tax withholding obligations arising exclusively from the vesting of equity awards and related issuance of shares of the Company’s common stock. The number of shares that will be sold to satisfy applicable tax withholding obligations upon vesting is not currently determinable as the number will vary based on the market price of the Company’s common stock and the extent to which vesting conditions are satisfied.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6. Exhibits</w:t>
      </w:r>
      <w:bookmarkStart w:id="20" w:name="Item6Exhibits_92354"/>
      <w:bookmarkEnd w:id="20"/>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INDEX</w:t>
      </w:r>
      <w:bookmarkStart w:id="21" w:name="EXHIBITINDEX_843050"/>
      <w:bookmarkEnd w:id="21"/>
    </w:p>
    <w:tbl>
      <w:tblPr>
        <w:tblW w:w="10205" w:type="dxa"/>
        <w:jc w:val="center"/>
        <w:tblInd w:w="0" w:type="dxa"/>
        <w:tblLayout w:type="fixed"/>
        <w:tblCellMar>
          <w:top w:w="0" w:type="dxa"/>
          <w:left w:w="0" w:type="dxa"/>
          <w:bottom w:w="0" w:type="dxa"/>
          <w:right w:w="0" w:type="dxa"/>
        </w:tblCellMar>
      </w:tblPr>
      <w:tblGrid>
        <w:gridCol w:w="883"/>
        <w:gridCol w:w="346"/>
        <w:gridCol w:w="8976"/>
      </w:tblGrid>
      <w:tr>
        <w:trPr/>
        <w:tc>
          <w:tcPr>
            <w:tcW w:w="8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60705" cy="175260"/>
                      <wp:effectExtent l="0" t="0" r="0" b="0"/>
                      <wp:wrapNone/>
                      <wp:docPr id="214" name="Frame214"/>
                      <a:graphic xmlns:a="http://schemas.openxmlformats.org/drawingml/2006/main">
                        <a:graphicData uri="http://schemas.microsoft.com/office/word/2010/wordprocessingShape">
                          <wps:wsp>
                            <wps:cNvSpPr txBox="1"/>
                            <wps:spPr>
                              <a:xfrm>
                                <a:off x="0" y="0"/>
                                <a:ext cx="560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5699760" cy="175260"/>
                      <wp:effectExtent l="0" t="0" r="0" b="0"/>
                      <wp:wrapNone/>
                      <wp:docPr id="215" name="Frame215"/>
                      <a:graphic xmlns:a="http://schemas.openxmlformats.org/drawingml/2006/main">
                        <a:graphicData uri="http://schemas.microsoft.com/office/word/2010/wordprocessingShape">
                          <wps:wsp>
                            <wps:cNvSpPr txBox="1"/>
                            <wps:spPr>
                              <a:xfrm>
                                <a:off x="0" y="0"/>
                                <a:ext cx="569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t xml:space="preserve"> </w:t>
            </w:r>
            <w:r>
              <w:rPr>
                <w:rFonts w:ascii="Times New Roman;Times;serif" w:hAnsi="Times New Roman;Times;serif"/>
                <w:b/>
                <w:sz w:val="20"/>
              </w:rPr>
              <w:t>No.</w:t>
            </w:r>
          </w:p>
        </w:tc>
        <w:tc>
          <w:tcPr>
            <w:tcW w:w="346" w:type="dxa"/>
            <w:tcBorders/>
            <w:vAlign w:val="center"/>
          </w:tcPr>
          <w:p>
            <w:pPr>
              <w:pStyle w:val="TableContents"/>
              <w:bidi w:val="0"/>
              <w:spacing w:before="0" w:after="0"/>
              <w:ind w:left="0" w:right="0" w:hanging="0"/>
              <w:jc w:val="left"/>
              <w:rPr/>
            </w:pPr>
            <w:r>
              <w:rPr/>
              <w:t>  ​ ​ ​</w:t>
            </w:r>
          </w:p>
        </w:tc>
        <w:tc>
          <w:tcPr>
            <w:tcW w:w="8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88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left"/>
              <w:rPr/>
            </w:pPr>
            <w:r>
              <w:rPr/>
              <w: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b w:val="false"/>
                  <w:i w:val="false"/>
                  <w:caps w:val="false"/>
                  <w:smallCaps w:val="false"/>
                  <w:sz w:val="20"/>
                </w:rPr>
                <w:t>Composite Certificate of Incorporation of Terrestrial Energy Inc. (as amended through March 27, 2026) (incorporated by reference to Exhibit 3.1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b w:val="false"/>
                  <w:i w:val="false"/>
                  <w:caps w:val="false"/>
                  <w:smallCaps w:val="false"/>
                  <w:sz w:val="20"/>
                </w:rPr>
                <w:t>Composite Bylaws of Terrestrial Energy Inc. (as amended through October 28, 2025) (incorporated by reference to Exhibit 3.2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b w:val="false"/>
                  <w:i w:val="false"/>
                  <w:caps w:val="false"/>
                  <w:smallCaps w:val="false"/>
                  <w:sz w:val="20"/>
                </w:rPr>
                <w:t>Certificate of Designations for Special Voting Preferred Stock (incorporated by reference to Exhibit 3.3 of the Company’s Annual Report on Form 10-K, filed with the SEC on March 30,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Employment Agreement, dated April 16, 2026, by and between Terrestrial Energy Development, Inc. and Brian Thrasher (incorporated by reference to Exhibit 10.1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Employment Agreement, dated April 16, 2026, by and between Terrestrial Energy (Ontario) Inc. and William Smith (incorporated by reference to Exhibit 10.2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Employment Agreement, dated April 16, 2026, by and between Terrestrial Energy (Ontario) Inc. and David LeBlanc (incorporated by reference to Exhibit 10.3 of the Company’s Current Report on Form 8-K, filed with the SEC on April 16, 2026)</w:t>
              </w:r>
            </w:hyperlink>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Executive Officer Pursuant to Section 302 of the Sarbanes-Oxley Act of 2002</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Financial Officer Pursuant to Section 302 of the Sarbanes-Oxley Act of 2002</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Executive Officer Pursuant to 18 U.S.C. Section 1350, as adopted pursuant to Section 906 of the Sarbanes-Oxley Act of 2002</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Certification of Chief Financial Officer Pursuant to 18 U.S.C. Section 1350, as adopted pursuant to Section 906 of the Sarbanes-Oxley Act of 2002</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XBRL Taxonomy Extension Presentation Linkbase Document</w:t>
            </w:r>
          </w:p>
        </w:tc>
      </w:tr>
      <w:tr>
        <w:trPr/>
        <w:tc>
          <w:tcPr>
            <w:tcW w:w="88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897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(formatted in Inline XBRL and contained in Exhibit 101)</w:t>
            </w:r>
          </w:p>
        </w:tc>
      </w:tr>
    </w:tbl>
    <w:p>
      <w:pPr>
        <w:pStyle w:val="HorizontalLine"/>
        <w:pBdr>
          <w:bottom w:val="single" w:sz="6" w:space="0" w:color="000000"/>
        </w:pBdr>
        <w:bidi w:val="0"/>
        <w:spacing w:before="0" w:after="0"/>
        <w:ind w:left="0" w:right="7654" w:hanging="0"/>
        <w:jc w:val="left"/>
        <w:rPr/>
      </w:pPr>
      <w:r>
        <w:rPr/>
      </w:r>
    </w:p>
    <w:tbl>
      <w:tblPr>
        <w:tblW w:w="1375" w:type="dxa"/>
        <w:jc w:val="left"/>
        <w:tblInd w:w="0" w:type="dxa"/>
        <w:tblLayout w:type="fixed"/>
        <w:tblCellMar>
          <w:top w:w="0" w:type="dxa"/>
          <w:left w:w="0" w:type="dxa"/>
          <w:bottom w:w="0" w:type="dxa"/>
          <w:right w:w="0" w:type="dxa"/>
        </w:tblCellMar>
      </w:tblPr>
      <w:tblGrid>
        <w:gridCol w:w="140"/>
        <w:gridCol w:w="1235"/>
      </w:tblGrid>
      <w:tr>
        <w:trPr/>
        <w:tc>
          <w:tcPr>
            <w:tcW w:w="140" w:type="dxa"/>
            <w:tcBorders/>
            <w:vAlign w:val="center"/>
          </w:tcPr>
          <w:p>
            <w:pPr>
              <w:pStyle w:val="TableContents"/>
              <w:bidi w:val="0"/>
              <w:spacing w:before="0" w:after="240"/>
              <w:jc w:val="both"/>
              <w:rPr/>
            </w:pPr>
            <w:r>
              <w:rPr/>
              <w:t>†</w:t>
            </w:r>
          </w:p>
        </w:tc>
        <w:tc>
          <w:tcPr>
            <w:tcW w:w="123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Filed herewith.</w:t>
            </w:r>
          </w:p>
        </w:tc>
      </w:tr>
    </w:tbl>
    <w:p>
      <w:pPr>
        <w:pStyle w:val="TextBody"/>
        <w:pBdr/>
        <w:bidi w:val="0"/>
        <w:spacing w:before="0" w:after="240"/>
        <w:ind w:left="0" w:right="0" w:hanging="360"/>
        <w:jc w:val="both"/>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240"/>
        <w:ind w:left="0" w:right="0" w:hanging="360"/>
        <w:jc w:val="both"/>
        <w:rPr/>
      </w:pPr>
      <w:r>
        <w:rPr/>
        <w:t xml:space="preserve">‡     </w:t>
      </w:r>
      <w:r>
        <w:rPr>
          <w:rFonts w:ascii="Times New Roman;Times;serif" w:hAnsi="Times New Roman;Times;serif"/>
          <w:sz w:val="20"/>
        </w:rPr>
        <w:t>Management contract or compensatory plan or arrangement.</w:t>
      </w:r>
    </w:p>
    <w:p>
      <w:pPr>
        <w:pStyle w:val="TextBody"/>
        <w:pBdr/>
        <w:bidi w:val="0"/>
        <w:spacing w:before="0" w:after="240"/>
        <w:ind w:left="0" w:right="0" w:hanging="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SIGNATURES</w:t>
      </w:r>
      <w:bookmarkStart w:id="22" w:name="SIGNATURES_883092"/>
      <w:bookmarkEnd w:id="22"/>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duly authorized.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Date: August 11, 2026</w:t>
      </w:r>
    </w:p>
    <w:tbl>
      <w:tblPr>
        <w:tblW w:w="3231" w:type="dxa"/>
        <w:jc w:val="left"/>
        <w:tblInd w:w="0" w:type="dxa"/>
        <w:tblLayout w:type="fixed"/>
        <w:tblCellMar>
          <w:top w:w="0" w:type="dxa"/>
          <w:left w:w="0" w:type="dxa"/>
          <w:bottom w:w="0" w:type="dxa"/>
          <w:right w:w="0" w:type="dxa"/>
        </w:tblCellMar>
      </w:tblPr>
      <w:tblGrid>
        <w:gridCol w:w="124"/>
        <w:gridCol w:w="631"/>
        <w:gridCol w:w="2476"/>
      </w:tblGrid>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TERRESTRIAL ENERGY INC.</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w:t>
            </w:r>
            <w:r>
              <w:rPr>
                <w:rFonts w:ascii="Times New Roman;Times;serif" w:hAnsi="Times New Roman;Times;serif"/>
                <w:smallCaps/>
                <w:sz w:val="20"/>
              </w:rPr>
              <w:t>EGISTRANT</w:t>
            </w:r>
            <w:r>
              <w:rPr>
                <w:rFonts w:ascii="Times New Roman;Times;serif" w:hAnsi="Times New Roman;Times;serif"/>
                <w:sz w:val="20"/>
              </w:rPr>
              <w:t>)</w:t>
            </w:r>
          </w:p>
        </w:tc>
      </w:tr>
      <w:tr>
        <w:trPr/>
        <w:tc>
          <w:tcPr>
            <w:tcW w:w="124" w:type="dxa"/>
            <w:tcBorders/>
            <w:vAlign w:val="center"/>
          </w:tcPr>
          <w:p>
            <w:pPr>
              <w:pStyle w:val="TableContents"/>
              <w:bidi w:val="0"/>
              <w:spacing w:before="0" w:after="0"/>
              <w:ind w:left="0" w:right="0" w:hanging="0"/>
              <w:jc w:val="left"/>
              <w:rPr/>
            </w:pPr>
            <w:r>
              <w:rPr/>
              <w:t>​</w:t>
            </w:r>
          </w:p>
        </w:tc>
        <w:tc>
          <w:tcPr>
            <w:tcW w:w="310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Simon Irish</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Brian Thrasher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4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ptos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9804/000110465926036846/tmb-20251231xex3d1.htm" TargetMode="External"/><Relationship Id="rId3" Type="http://schemas.openxmlformats.org/officeDocument/2006/relationships/hyperlink" Target="https://www.sec.gov/Archives/edgar/data/2019804/000110465926036846/tmb-20251231xex3d2.htm" TargetMode="External"/><Relationship Id="rId4" Type="http://schemas.openxmlformats.org/officeDocument/2006/relationships/hyperlink" Target="https://www.sec.gov/Archives/edgar/data/2019804/000110465926036846/tmb-20251231xex3d3.htm" TargetMode="External"/><Relationship Id="rId5" Type="http://schemas.openxmlformats.org/officeDocument/2006/relationships/hyperlink" Target="https://www.sec.gov/Archives/edgar/data/2019804/000110465926044426/tmb-20260416xex10d1.htm" TargetMode="External"/><Relationship Id="rId6" Type="http://schemas.openxmlformats.org/officeDocument/2006/relationships/hyperlink" Target="https://www.sec.gov/Archives/edgar/data/2019804/000110465926044426/tmb-20260416xex10d2.htm" TargetMode="External"/><Relationship Id="rId7" Type="http://schemas.openxmlformats.org/officeDocument/2006/relationships/hyperlink" Target="https://www.sec.gov/Archives/edgar/data/2019804/000110465926044426/tmb-20260416xex10d3.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12819</Words>
  <Characters>72661</Characters>
  <CharactersWithSpaces>86741</CharactersWithSpaces>
  <Paragraphs>3837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