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29158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1580" cy="3302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-140970</wp:posOffset>
            </wp:positionV>
            <wp:extent cx="6291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1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5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720" w:hanging="468"/>
        <w:spacing w:after="0"/>
        <w:tabs>
          <w:tab w:leader="none" w:pos="7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4"/>
          <w:szCs w:val="24"/>
          <w:color w:val="auto"/>
        </w:rPr>
      </w:pPr>
    </w:p>
    <w:p>
      <w:pPr>
        <w:ind w:left="720" w:hanging="468"/>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001-42252</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jc w:val="center"/>
        <w:spacing w:after="0"/>
        <w:rPr>
          <w:sz w:val="20"/>
          <w:szCs w:val="20"/>
          <w:color w:val="auto"/>
        </w:rPr>
      </w:pPr>
      <w:r>
        <w:rPr>
          <w:rFonts w:ascii="Times New Roman" w:cs="Times New Roman" w:eastAsia="Times New Roman" w:hAnsi="Times New Roman"/>
          <w:sz w:val="24"/>
          <w:szCs w:val="24"/>
          <w:b w:val="1"/>
          <w:bCs w:val="1"/>
          <w:color w:val="auto"/>
        </w:rPr>
        <w:t>TERRESTRIAL ENERGY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800" w:type="dxa"/>
            <w:vAlign w:val="bottom"/>
          </w:tcPr>
          <w:p>
            <w:pPr>
              <w:jc w:val="center"/>
              <w:ind w:right="46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120" w:type="dxa"/>
            <w:vAlign w:val="bottom"/>
            <w:gridSpan w:val="2"/>
          </w:tcPr>
          <w:p>
            <w:pPr>
              <w:jc w:val="center"/>
              <w:ind w:left="82"/>
              <w:spacing w:after="0"/>
              <w:rPr>
                <w:sz w:val="20"/>
                <w:szCs w:val="20"/>
                <w:color w:val="auto"/>
              </w:rPr>
            </w:pPr>
            <w:r>
              <w:rPr>
                <w:rFonts w:ascii="Times New Roman" w:cs="Times New Roman" w:eastAsia="Times New Roman" w:hAnsi="Times New Roman"/>
                <w:sz w:val="17"/>
                <w:szCs w:val="17"/>
                <w:b w:val="1"/>
                <w:bCs w:val="1"/>
                <w:color w:val="auto"/>
              </w:rPr>
              <w:t>98-1785406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tcPr>
          <w:p>
            <w:pPr>
              <w:jc w:val="right"/>
              <w:ind w:right="1020"/>
              <w:spacing w:after="0"/>
              <w:rPr>
                <w:sz w:val="20"/>
                <w:szCs w:val="20"/>
                <w:color w:val="auto"/>
              </w:rPr>
            </w:pPr>
            <w:r>
              <w:rPr>
                <w:rFonts w:ascii="Times New Roman" w:cs="Times New Roman" w:eastAsia="Times New Roman" w:hAnsi="Times New Roman"/>
                <w:sz w:val="17"/>
                <w:szCs w:val="17"/>
                <w:b w:val="1"/>
                <w:bCs w:val="1"/>
                <w:color w:val="auto"/>
              </w:rPr>
              <w:t>(646) 687-8212</w:t>
            </w:r>
          </w:p>
        </w:tc>
      </w:tr>
      <w:tr>
        <w:trPr>
          <w:trHeight w:val="182"/>
        </w:trPr>
        <w:tc>
          <w:tcPr>
            <w:tcW w:w="3800" w:type="dxa"/>
            <w:vAlign w:val="bottom"/>
          </w:tcPr>
          <w:p>
            <w:pPr>
              <w:jc w:val="center"/>
              <w:ind w:right="441"/>
              <w:spacing w:after="0"/>
              <w:rPr>
                <w:sz w:val="20"/>
                <w:szCs w:val="20"/>
                <w:color w:val="auto"/>
              </w:rPr>
            </w:pPr>
            <w:r>
              <w:rPr>
                <w:rFonts w:ascii="Times New Roman" w:cs="Times New Roman" w:eastAsia="Times New Roman" w:hAnsi="Times New Roman"/>
                <w:sz w:val="14"/>
                <w:szCs w:val="14"/>
                <w:color w:val="auto"/>
                <w:w w:val="99"/>
              </w:rPr>
              <w:t>(Jurisdiction of Incorporation)</w:t>
            </w:r>
          </w:p>
        </w:tc>
        <w:tc>
          <w:tcPr>
            <w:tcW w:w="286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color w:val="auto"/>
                <w:w w:val="99"/>
              </w:rPr>
              <w:t>(I.R.S. Employer Identification No.)</w:t>
            </w: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(Registrant’s telephone number)</w:t>
            </w:r>
          </w:p>
        </w:tc>
      </w:tr>
      <w:tr>
        <w:trPr>
          <w:trHeight w:val="264"/>
        </w:trPr>
        <w:tc>
          <w:tcPr>
            <w:tcW w:w="6660" w:type="dxa"/>
            <w:vAlign w:val="bottom"/>
            <w:gridSpan w:val="5"/>
          </w:tcPr>
          <w:p>
            <w:pPr>
              <w:jc w:val="center"/>
              <w:ind w:left="3161"/>
              <w:spacing w:after="0"/>
              <w:rPr>
                <w:sz w:val="20"/>
                <w:szCs w:val="20"/>
                <w:color w:val="auto"/>
              </w:rPr>
            </w:pPr>
            <w:r>
              <w:rPr>
                <w:rFonts w:ascii="Times New Roman" w:cs="Times New Roman" w:eastAsia="Times New Roman" w:hAnsi="Times New Roman"/>
                <w:sz w:val="17"/>
                <w:szCs w:val="17"/>
                <w:b w:val="1"/>
                <w:bCs w:val="1"/>
                <w:color w:val="auto"/>
              </w:rPr>
              <w:t>2730 W. Tyvola Road, Suite 100</w:t>
            </w:r>
          </w:p>
        </w:tc>
        <w:tc>
          <w:tcPr>
            <w:tcW w:w="3240" w:type="dxa"/>
            <w:vAlign w:val="bottom"/>
          </w:tcPr>
          <w:p>
            <w:pPr>
              <w:spacing w:after="0"/>
              <w:rPr>
                <w:sz w:val="22"/>
                <w:szCs w:val="22"/>
                <w:color w:val="auto"/>
              </w:rPr>
            </w:pPr>
          </w:p>
        </w:tc>
      </w:tr>
      <w:tr>
        <w:trPr>
          <w:trHeight w:val="22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3"/>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Charlotte, NC 28217</w:t>
            </w:r>
          </w:p>
        </w:tc>
        <w:tc>
          <w:tcPr>
            <w:tcW w:w="3240" w:type="dxa"/>
            <w:vAlign w:val="bottom"/>
          </w:tcPr>
          <w:p>
            <w:pPr>
              <w:spacing w:after="0"/>
              <w:rPr>
                <w:sz w:val="19"/>
                <w:szCs w:val="19"/>
                <w:color w:val="auto"/>
              </w:rPr>
            </w:pPr>
          </w:p>
        </w:tc>
      </w:tr>
      <w:tr>
        <w:trPr>
          <w:trHeight w:val="182"/>
        </w:trPr>
        <w:tc>
          <w:tcPr>
            <w:tcW w:w="6660" w:type="dxa"/>
            <w:vAlign w:val="bottom"/>
            <w:gridSpan w:val="5"/>
          </w:tcPr>
          <w:p>
            <w:pPr>
              <w:jc w:val="center"/>
              <w:ind w:left="3161"/>
              <w:spacing w:after="0"/>
              <w:rPr>
                <w:sz w:val="20"/>
                <w:szCs w:val="20"/>
                <w:color w:val="auto"/>
              </w:rPr>
            </w:pPr>
            <w:r>
              <w:rPr>
                <w:rFonts w:ascii="Times New Roman" w:cs="Times New Roman" w:eastAsia="Times New Roman" w:hAnsi="Times New Roman"/>
                <w:sz w:val="14"/>
                <w:szCs w:val="14"/>
                <w:color w:val="auto"/>
                <w:w w:val="99"/>
              </w:rPr>
              <w:t>(Address and postal code of principal executive offices)</w:t>
            </w:r>
          </w:p>
        </w:tc>
        <w:tc>
          <w:tcPr>
            <w:tcW w:w="3240" w:type="dxa"/>
            <w:vAlign w:val="bottom"/>
          </w:tcPr>
          <w:p>
            <w:pPr>
              <w:spacing w:after="0"/>
              <w:rPr>
                <w:sz w:val="15"/>
                <w:szCs w:val="15"/>
                <w:color w:val="auto"/>
              </w:rPr>
            </w:pPr>
          </w:p>
        </w:tc>
      </w:tr>
      <w:tr>
        <w:trPr>
          <w:trHeight w:val="299"/>
        </w:trPr>
        <w:tc>
          <w:tcPr>
            <w:tcW w:w="6660" w:type="dxa"/>
            <w:vAlign w:val="bottom"/>
            <w:gridSpan w:val="5"/>
          </w:tcPr>
          <w:p>
            <w:pPr>
              <w:jc w:val="center"/>
              <w:ind w:left="3141"/>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c>
          <w:tcPr>
            <w:tcW w:w="3240" w:type="dxa"/>
            <w:vAlign w:val="bottom"/>
          </w:tcPr>
          <w:p>
            <w:pPr>
              <w:spacing w:after="0"/>
              <w:rPr>
                <w:sz w:val="24"/>
                <w:szCs w:val="24"/>
                <w:color w:val="auto"/>
              </w:rPr>
            </w:pPr>
          </w:p>
        </w:tc>
      </w:tr>
      <w:tr>
        <w:trPr>
          <w:trHeight w:val="189"/>
        </w:trPr>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00" w:type="dxa"/>
            <w:vAlign w:val="bottom"/>
          </w:tcPr>
          <w:p>
            <w:pPr>
              <w:spacing w:after="0"/>
              <w:rPr>
                <w:sz w:val="16"/>
                <w:szCs w:val="16"/>
                <w:color w:val="auto"/>
              </w:rPr>
            </w:pPr>
          </w:p>
        </w:tc>
        <w:tc>
          <w:tcPr>
            <w:tcW w:w="266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240" w:type="dxa"/>
            <w:vAlign w:val="bottom"/>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15"/>
        </w:trPr>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20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IMSR</w:t>
            </w: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52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2"/>
        </w:trPr>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Redeemable Warrants, each whole warrant exercisable</w:t>
            </w:r>
          </w:p>
        </w:tc>
        <w:tc>
          <w:tcPr>
            <w:tcW w:w="200" w:type="dxa"/>
            <w:vAlign w:val="bottom"/>
          </w:tcPr>
          <w:p>
            <w:pPr>
              <w:spacing w:after="0"/>
              <w:rPr>
                <w:sz w:val="19"/>
                <w:szCs w:val="19"/>
                <w:color w:val="auto"/>
              </w:rPr>
            </w:pPr>
          </w:p>
        </w:tc>
        <w:tc>
          <w:tcPr>
            <w:tcW w:w="2660" w:type="dxa"/>
            <w:vAlign w:val="bottom"/>
            <w:gridSpan w:val="3"/>
          </w:tcPr>
          <w:p>
            <w:pPr>
              <w:jc w:val="center"/>
              <w:ind w:right="760"/>
              <w:spacing w:after="0"/>
              <w:rPr>
                <w:sz w:val="20"/>
                <w:szCs w:val="20"/>
                <w:color w:val="auto"/>
              </w:rPr>
            </w:pPr>
            <w:r>
              <w:rPr>
                <w:rFonts w:ascii="Times New Roman" w:cs="Times New Roman" w:eastAsia="Times New Roman" w:hAnsi="Times New Roman"/>
                <w:sz w:val="17"/>
                <w:szCs w:val="17"/>
                <w:color w:val="auto"/>
              </w:rPr>
              <w:t>IMSRW</w:t>
            </w:r>
          </w:p>
        </w:tc>
        <w:tc>
          <w:tcPr>
            <w:tcW w:w="3240" w:type="dxa"/>
            <w:vAlign w:val="bottom"/>
          </w:tcPr>
          <w:p>
            <w:pPr>
              <w:jc w:val="center"/>
              <w:ind w:right="52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7"/>
        </w:trPr>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one Common Stock at a price of $11.50 per share</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5"/>
          <w:szCs w:val="15"/>
          <w:color w:val="auto"/>
        </w:rPr>
        <w:t>None</w:t>
      </w:r>
    </w:p>
    <w:p>
      <w:pPr>
        <w:spacing w:after="0" w:line="42" w:lineRule="exact"/>
        <w:rPr>
          <w:sz w:val="24"/>
          <w:szCs w:val="24"/>
          <w:color w:val="auto"/>
        </w:rPr>
      </w:pPr>
    </w:p>
    <w:p>
      <w:pPr>
        <w:ind w:left="640" w:right="1040"/>
        <w:spacing w:after="0" w:line="25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ind w:right="120" w:firstLine="627"/>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260" w:firstLine="627"/>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140" w:firstLine="627"/>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80"/>
        <w:spacing w:after="0" w:line="161" w:lineRule="exact"/>
        <w:tabs>
          <w:tab w:leader="none" w:pos="2140" w:val="left"/>
          <w:tab w:leader="none" w:pos="3880" w:val="left"/>
          <w:tab w:leader="none" w:pos="6040" w:val="left"/>
          <w:tab w:leader="none" w:pos="81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0" w:lineRule="exact"/>
        <w:rPr>
          <w:sz w:val="24"/>
          <w:szCs w:val="24"/>
          <w:color w:val="auto"/>
        </w:rPr>
      </w:pPr>
    </w:p>
    <w:p>
      <w:pPr>
        <w:ind w:right="220" w:firstLine="627"/>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4"/>
          <w:szCs w:val="24"/>
          <w:color w:val="auto"/>
        </w:rPr>
      </w:pPr>
    </w:p>
    <w:p>
      <w:pPr>
        <w:ind w:right="20" w:firstLine="627"/>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2" w:lineRule="exact"/>
        <w:rPr>
          <w:sz w:val="24"/>
          <w:szCs w:val="24"/>
          <w:color w:val="auto"/>
        </w:rPr>
      </w:pPr>
    </w:p>
    <w:p>
      <w:pPr>
        <w:ind w:firstLine="627"/>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 w:lineRule="exact"/>
        <w:rPr>
          <w:sz w:val="24"/>
          <w:szCs w:val="24"/>
          <w:color w:val="auto"/>
        </w:rPr>
      </w:pPr>
    </w:p>
    <w:p>
      <w:pPr>
        <w:ind w:right="160" w:firstLine="627"/>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64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right="100" w:firstLine="627"/>
        <w:spacing w:after="0" w:line="277" w:lineRule="auto"/>
        <w:rPr>
          <w:sz w:val="20"/>
          <w:szCs w:val="20"/>
          <w:color w:val="auto"/>
        </w:rPr>
      </w:pPr>
      <w:r>
        <w:rPr>
          <w:rFonts w:ascii="Times New Roman" w:cs="Times New Roman" w:eastAsia="Times New Roman" w:hAnsi="Times New Roman"/>
          <w:sz w:val="16"/>
          <w:szCs w:val="16"/>
          <w:color w:val="auto"/>
        </w:rPr>
        <w:t>The aggregate market value of the common shares of Terrestrial Energy Inc. (formerly known as HCM II Acquisition Corp.) held by non-affiliates was $191,475,000 as of June 30, 2025, the last business day of the registrant’s most recently completed second fiscal quarter.</w:t>
      </w:r>
    </w:p>
    <w:p>
      <w:pPr>
        <w:spacing w:after="0" w:line="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common shares outstanding as of March 25, 2026 was 105,935,266.</w:t>
      </w:r>
    </w:p>
    <w:p>
      <w:pPr>
        <w:spacing w:after="0" w:line="3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3" w:lineRule="exact"/>
        <w:rPr>
          <w:sz w:val="24"/>
          <w:szCs w:val="24"/>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to be filed within 120 days after the end of the fiscal year ended December 31, 2025 in connection with the registrant’s 2026 annual general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424180</wp:posOffset>
            </wp:positionV>
            <wp:extent cx="62915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1580" cy="16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18415</wp:posOffset>
            </wp:positionV>
            <wp:extent cx="6291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59690</wp:posOffset>
            </wp:positionV>
            <wp:extent cx="629158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1580" cy="3302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52"/>
        </w:trPr>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520" w:type="dxa"/>
            <w:vAlign w:val="bottom"/>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Item 1.</w:t>
            </w: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Business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2"/>
              </w:rPr>
              <w:t>Item 1A.</w:t>
            </w:r>
          </w:p>
        </w:tc>
        <w:tc>
          <w:tcPr>
            <w:tcW w:w="200" w:type="dxa"/>
            <w:vAlign w:val="bottom"/>
          </w:tcPr>
          <w:p>
            <w:pPr>
              <w:spacing w:after="0"/>
              <w:rPr>
                <w:sz w:val="20"/>
                <w:szCs w:val="20"/>
                <w:color w:val="auto"/>
              </w:rPr>
            </w:pP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Risk Factors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4"/>
              </w:rPr>
              <w:t>Item 1B.</w:t>
            </w:r>
          </w:p>
        </w:tc>
        <w:tc>
          <w:tcPr>
            <w:tcW w:w="200" w:type="dxa"/>
            <w:vAlign w:val="bottom"/>
          </w:tcPr>
          <w:p>
            <w:pPr>
              <w:spacing w:after="0"/>
              <w:rPr>
                <w:sz w:val="20"/>
                <w:szCs w:val="20"/>
                <w:color w:val="auto"/>
              </w:rPr>
            </w:pP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Unresolved Staff Comments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4"/>
              </w:rPr>
              <w:t>Item 1C.</w:t>
            </w:r>
          </w:p>
        </w:tc>
        <w:tc>
          <w:tcPr>
            <w:tcW w:w="200" w:type="dxa"/>
            <w:vAlign w:val="bottom"/>
          </w:tcPr>
          <w:p>
            <w:pPr>
              <w:spacing w:after="0"/>
              <w:rPr>
                <w:sz w:val="20"/>
                <w:szCs w:val="20"/>
                <w:color w:val="auto"/>
              </w:rPr>
            </w:pP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Cybersecurity</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Item 2.</w:t>
            </w:r>
          </w:p>
        </w:tc>
        <w:tc>
          <w:tcPr>
            <w:tcW w:w="200" w:type="dxa"/>
            <w:vAlign w:val="bottom"/>
          </w:tcPr>
          <w:p>
            <w:pPr>
              <w:spacing w:after="0"/>
              <w:rPr>
                <w:sz w:val="20"/>
                <w:szCs w:val="20"/>
                <w:color w:val="auto"/>
              </w:rPr>
            </w:pP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Properties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Item 3.</w:t>
            </w: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Legal Proceedings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Item 4.</w:t>
            </w:r>
          </w:p>
        </w:tc>
        <w:tc>
          <w:tcPr>
            <w:tcW w:w="2880" w:type="dxa"/>
            <w:vAlign w:val="bottom"/>
            <w:gridSpan w:val="9"/>
          </w:tcPr>
          <w:p>
            <w:pPr>
              <w:ind w:left="200"/>
              <w:spacing w:after="0"/>
              <w:rPr>
                <w:sz w:val="20"/>
                <w:szCs w:val="20"/>
                <w:color w:val="auto"/>
              </w:rPr>
            </w:pPr>
            <w:r>
              <w:rPr>
                <w:rFonts w:ascii="Times New Roman" w:cs="Times New Roman" w:eastAsia="Times New Roman" w:hAnsi="Times New Roman"/>
                <w:sz w:val="17"/>
                <w:szCs w:val="17"/>
                <w:color w:val="0000EE"/>
              </w:rPr>
              <w:t>Mine Safety Disclosures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Part II</w:t>
            </w:r>
          </w:p>
        </w:tc>
        <w:tc>
          <w:tcPr>
            <w:tcW w:w="35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5.</w:t>
            </w: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189"/>
        </w:trPr>
        <w:tc>
          <w:tcPr>
            <w:tcW w:w="48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8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Securities</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6.</w:t>
            </w:r>
          </w:p>
        </w:tc>
        <w:tc>
          <w:tcPr>
            <w:tcW w:w="6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Reserved</w:t>
            </w:r>
          </w:p>
        </w:tc>
        <w:tc>
          <w:tcPr>
            <w:tcW w:w="6680" w:type="dxa"/>
            <w:vAlign w:val="bottom"/>
            <w:gridSpan w:val="11"/>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7.</w:t>
            </w: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9"/>
              </w:rPr>
              <w:t>Item 7A.</w:t>
            </w:r>
          </w:p>
        </w:tc>
        <w:tc>
          <w:tcPr>
            <w:tcW w:w="380" w:type="dxa"/>
            <w:vAlign w:val="bottom"/>
          </w:tcPr>
          <w:p>
            <w:pPr>
              <w:spacing w:after="0"/>
              <w:rPr>
                <w:sz w:val="20"/>
                <w:szCs w:val="20"/>
                <w:color w:val="auto"/>
              </w:rPr>
            </w:pPr>
          </w:p>
        </w:tc>
        <w:tc>
          <w:tcPr>
            <w:tcW w:w="4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3140" w:type="dxa"/>
            <w:vAlign w:val="bottom"/>
            <w:gridSpan w:val="5"/>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8.</w:t>
            </w: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F-1</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9.</w:t>
            </w: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9"/>
              </w:rPr>
              <w:t>Item 9A.</w:t>
            </w:r>
          </w:p>
        </w:tc>
        <w:tc>
          <w:tcPr>
            <w:tcW w:w="380" w:type="dxa"/>
            <w:vAlign w:val="bottom"/>
          </w:tcPr>
          <w:p>
            <w:pPr>
              <w:spacing w:after="0"/>
              <w:rPr>
                <w:sz w:val="20"/>
                <w:szCs w:val="20"/>
                <w:color w:val="auto"/>
              </w:rPr>
            </w:pP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1"/>
        </w:trPr>
        <w:tc>
          <w:tcPr>
            <w:tcW w:w="6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Item 9B.</w:t>
            </w:r>
          </w:p>
        </w:tc>
        <w:tc>
          <w:tcPr>
            <w:tcW w:w="380" w:type="dxa"/>
            <w:vAlign w:val="bottom"/>
          </w:tcPr>
          <w:p>
            <w:pPr>
              <w:spacing w:after="0"/>
              <w:rPr>
                <w:sz w:val="20"/>
                <w:szCs w:val="20"/>
                <w:color w:val="auto"/>
              </w:rPr>
            </w:pPr>
          </w:p>
        </w:tc>
        <w:tc>
          <w:tcPr>
            <w:tcW w:w="17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5660" w:type="dxa"/>
            <w:vAlign w:val="bottom"/>
            <w:gridSpan w:val="9"/>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1"/>
        </w:trPr>
        <w:tc>
          <w:tcPr>
            <w:tcW w:w="10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Item 9C.</w:t>
            </w:r>
          </w:p>
        </w:tc>
        <w:tc>
          <w:tcPr>
            <w:tcW w:w="736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EE"/>
              </w:rPr>
              <w:t>Part III</w:t>
            </w:r>
          </w:p>
        </w:tc>
        <w:tc>
          <w:tcPr>
            <w:tcW w:w="52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10.</w:t>
            </w:r>
          </w:p>
        </w:tc>
        <w:tc>
          <w:tcPr>
            <w:tcW w:w="78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11.</w:t>
            </w:r>
          </w:p>
        </w:tc>
        <w:tc>
          <w:tcPr>
            <w:tcW w:w="78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EE"/>
              </w:rPr>
              <w:t>Executive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12.</w:t>
            </w:r>
          </w:p>
        </w:tc>
        <w:tc>
          <w:tcPr>
            <w:tcW w:w="78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13.</w:t>
            </w:r>
          </w:p>
        </w:tc>
        <w:tc>
          <w:tcPr>
            <w:tcW w:w="78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EE"/>
                <w:w w:val="91"/>
              </w:rPr>
              <w:t>Item 14.</w:t>
            </w:r>
          </w:p>
        </w:tc>
        <w:tc>
          <w:tcPr>
            <w:tcW w:w="7820" w:type="dxa"/>
            <w:vAlign w:val="bottom"/>
            <w:gridSpan w:val="9"/>
          </w:tcPr>
          <w:p>
            <w:pPr>
              <w:ind w:left="440"/>
              <w:spacing w:after="0"/>
              <w:rPr>
                <w:sz w:val="20"/>
                <w:szCs w:val="20"/>
                <w:color w:val="auto"/>
              </w:rPr>
            </w:pPr>
            <w:r>
              <w:rPr>
                <w:rFonts w:ascii="Times New Roman" w:cs="Times New Roman" w:eastAsia="Times New Roman" w:hAnsi="Times New Roman"/>
                <w:sz w:val="17"/>
                <w:szCs w:val="17"/>
                <w:color w:val="0000EE"/>
              </w:rPr>
              <w:t>Principal Accountant Fees and Services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80" w:type="dxa"/>
            <w:vAlign w:val="bottom"/>
            <w:gridSpan w:val="2"/>
          </w:tcPr>
          <w:p>
            <w:pPr>
              <w:jc w:val="right"/>
              <w:ind w:right="3933"/>
              <w:spacing w:after="0"/>
              <w:rPr>
                <w:sz w:val="20"/>
                <w:szCs w:val="20"/>
                <w:color w:val="auto"/>
              </w:rPr>
            </w:pPr>
            <w:r>
              <w:rPr>
                <w:rFonts w:ascii="Times New Roman" w:cs="Times New Roman" w:eastAsia="Times New Roman" w:hAnsi="Times New Roman"/>
                <w:sz w:val="17"/>
                <w:szCs w:val="17"/>
                <w:b w:val="1"/>
                <w:bCs w:val="1"/>
                <w:color w:val="0000EE"/>
                <w:w w:val="97"/>
              </w:rPr>
              <w:t>Part IV</w:t>
            </w:r>
          </w:p>
        </w:tc>
      </w:t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Item 15.</w:t>
            </w:r>
          </w:p>
        </w:tc>
        <w:tc>
          <w:tcPr>
            <w:tcW w:w="280" w:type="dxa"/>
            <w:vAlign w:val="bottom"/>
            <w:gridSpan w:val="2"/>
          </w:tcPr>
          <w:p>
            <w:pPr>
              <w:spacing w:after="0"/>
              <w:rPr>
                <w:sz w:val="20"/>
                <w:szCs w:val="20"/>
                <w:color w:val="auto"/>
              </w:rPr>
            </w:pPr>
          </w:p>
        </w:tc>
        <w:tc>
          <w:tcPr>
            <w:tcW w:w="34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EE"/>
              </w:rPr>
              <w:t>Exhibits and Financial Statement Schedules</w:t>
            </w:r>
          </w:p>
        </w:tc>
        <w:tc>
          <w:tcPr>
            <w:tcW w:w="560" w:type="dxa"/>
            <w:vAlign w:val="bottom"/>
            <w:tcBorders>
              <w:top w:val="single" w:sz="8" w:color="0000EE"/>
            </w:tcBorders>
          </w:tcPr>
          <w:p>
            <w:pPr>
              <w:spacing w:after="0"/>
              <w:rPr>
                <w:sz w:val="20"/>
                <w:szCs w:val="20"/>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Item 16.</w:t>
            </w:r>
          </w:p>
        </w:tc>
        <w:tc>
          <w:tcPr>
            <w:tcW w:w="280" w:type="dxa"/>
            <w:vAlign w:val="bottom"/>
            <w:gridSpan w:val="2"/>
          </w:tcPr>
          <w:p>
            <w:pPr>
              <w:spacing w:after="0"/>
              <w:rPr>
                <w:sz w:val="20"/>
                <w:szCs w:val="20"/>
                <w:color w:val="auto"/>
              </w:rPr>
            </w:pPr>
          </w:p>
        </w:tc>
        <w:tc>
          <w:tcPr>
            <w:tcW w:w="34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EE"/>
              </w:rPr>
              <w:t>Form 10-K Summary</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Signatures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822"/>
        </w:trPr>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222" w:lineRule="exact"/>
        <w:rPr>
          <w:sz w:val="20"/>
          <w:szCs w:val="20"/>
          <w:color w:val="auto"/>
        </w:rPr>
      </w:pPr>
    </w:p>
    <w:p>
      <w:pPr>
        <w:ind w:left="40" w:right="99" w:firstLine="627"/>
        <w:spacing w:after="0" w:line="297" w:lineRule="auto"/>
        <w:rPr>
          <w:sz w:val="20"/>
          <w:szCs w:val="20"/>
          <w:color w:val="auto"/>
        </w:rPr>
      </w:pPr>
      <w:r>
        <w:rPr>
          <w:rFonts w:ascii="Times New Roman" w:cs="Times New Roman" w:eastAsia="Times New Roman" w:hAnsi="Times New Roman"/>
          <w:sz w:val="17"/>
          <w:szCs w:val="17"/>
          <w:i w:val="1"/>
          <w:iCs w:val="1"/>
          <w:color w:val="auto"/>
        </w:rPr>
        <w:t>References in this section to “we,” “our,” “us,” the “Company” or “Terrestrial Energy” generally refer to Terrestrial Energy Inc. and its subsidiaries.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Mission</w:t>
      </w:r>
    </w:p>
    <w:p>
      <w:pPr>
        <w:spacing w:after="0" w:line="224" w:lineRule="exact"/>
        <w:rPr>
          <w:sz w:val="20"/>
          <w:szCs w:val="20"/>
          <w:color w:val="auto"/>
        </w:rPr>
      </w:pPr>
    </w:p>
    <w:p>
      <w:pPr>
        <w:ind w:left="40" w:right="79" w:firstLine="627"/>
        <w:spacing w:after="0" w:line="265" w:lineRule="auto"/>
        <w:rPr>
          <w:sz w:val="20"/>
          <w:szCs w:val="20"/>
          <w:color w:val="auto"/>
        </w:rPr>
      </w:pPr>
      <w:r>
        <w:rPr>
          <w:rFonts w:ascii="Times New Roman" w:cs="Times New Roman" w:eastAsia="Times New Roman" w:hAnsi="Times New Roman"/>
          <w:sz w:val="17"/>
          <w:szCs w:val="17"/>
          <w:color w:val="auto"/>
        </w:rPr>
        <w:t>Terrestrial Energy Inc. is an advanced nuclear technology company developing the Integral Molten Salt Reactor nuclear plant (“IMSR Plant”), which uses the Company’s proprietary design of Molten Salt Reactor (“MSR”). Our mission is to transform global energy markets by commercializing our IMSR Plant, which will deliver low-carbon electricity and industrial heat with superior economics, speed to deployment, and siting flexibility. In a world demanding rapid, scalable nuclear solutions, the IMSR Plant offers a viable, efficient alternative to both the limitations of legacy nuclear and the intermittency of renewables.</w:t>
      </w:r>
    </w:p>
    <w:p>
      <w:pPr>
        <w:spacing w:after="0" w:line="3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Corporate History</w:t>
      </w:r>
    </w:p>
    <w:p>
      <w:pPr>
        <w:spacing w:after="0" w:line="224" w:lineRule="exact"/>
        <w:rPr>
          <w:sz w:val="20"/>
          <w:szCs w:val="20"/>
          <w:color w:val="auto"/>
        </w:rPr>
      </w:pPr>
    </w:p>
    <w:p>
      <w:pPr>
        <w:ind w:left="40" w:right="79" w:firstLine="627"/>
        <w:spacing w:after="0" w:line="260" w:lineRule="auto"/>
        <w:rPr>
          <w:sz w:val="20"/>
          <w:szCs w:val="20"/>
          <w:color w:val="auto"/>
        </w:rPr>
      </w:pPr>
      <w:r>
        <w:rPr>
          <w:rFonts w:ascii="Times New Roman" w:cs="Times New Roman" w:eastAsia="Times New Roman" w:hAnsi="Times New Roman"/>
          <w:sz w:val="17"/>
          <w:szCs w:val="17"/>
          <w:color w:val="auto"/>
        </w:rPr>
        <w:t>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“Business Combination”), the Company completed the Business Combination with Terrestrial Energy Development Inc. (“TEDI”), a Delaware corporation,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Market Opportunity</w:t>
      </w:r>
    </w:p>
    <w:p>
      <w:pPr>
        <w:spacing w:after="0" w:line="224" w:lineRule="exact"/>
        <w:rPr>
          <w:sz w:val="20"/>
          <w:szCs w:val="20"/>
          <w:color w:val="auto"/>
        </w:rPr>
      </w:pPr>
    </w:p>
    <w:p>
      <w:pPr>
        <w:jc w:val="both"/>
        <w:ind w:left="40" w:right="499" w:firstLine="627"/>
        <w:spacing w:after="0" w:line="269" w:lineRule="auto"/>
        <w:rPr>
          <w:sz w:val="20"/>
          <w:szCs w:val="20"/>
          <w:color w:val="auto"/>
        </w:rPr>
      </w:pPr>
      <w:r>
        <w:rPr>
          <w:rFonts w:ascii="Times New Roman" w:cs="Times New Roman" w:eastAsia="Times New Roman" w:hAnsi="Times New Roman"/>
          <w:sz w:val="17"/>
          <w:szCs w:val="17"/>
          <w:color w:val="auto"/>
        </w:rPr>
        <w:t>Global energy fundamentals are shifting rapidly in response to geopolitical tensions, infrastructure demands, and surging electricity consumption, with nuclear energy emerging as a critical component of future supply. According to the U.S. Energy Information Agency (“EIA”) and its International Energy Outlook of 2023, global primary energy demand is projected to rise 29% from 2025 to 2050, and electricity generation by 43% in that same period.</w:t>
      </w:r>
    </w:p>
    <w:p>
      <w:pPr>
        <w:spacing w:after="0" w:line="168" w:lineRule="exact"/>
        <w:rPr>
          <w:sz w:val="20"/>
          <w:szCs w:val="20"/>
          <w:color w:val="auto"/>
        </w:rPr>
      </w:pPr>
    </w:p>
    <w:p>
      <w:pPr>
        <w:ind w:left="40" w:right="119" w:firstLine="627"/>
        <w:spacing w:after="0" w:line="266" w:lineRule="auto"/>
        <w:rPr>
          <w:sz w:val="20"/>
          <w:szCs w:val="20"/>
          <w:color w:val="auto"/>
        </w:rPr>
      </w:pPr>
      <w:r>
        <w:rPr>
          <w:rFonts w:ascii="Times New Roman" w:cs="Times New Roman" w:eastAsia="Times New Roman" w:hAnsi="Times New Roman"/>
          <w:sz w:val="17"/>
          <w:szCs w:val="17"/>
          <w:color w:val="auto"/>
        </w:rPr>
        <w:t>Nuclear energy’s role in meeting this demand is driven by both energy security objectives and changing requirements from innovations such as those in the digital economy. In advanced economies, energy supply growth is hindered by electric transmission and pipeline congestion, leading governments and industrial consumers to reconsider electricity infrastructure and reframe nuclear energy, particularly distributed generation solutions with small and modular nuclear plants as a pillar of strategic energy reliability.</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Governments are responding with forceful and coordinated action. On May 23, 2025, the President of the</w:t>
      </w:r>
    </w:p>
    <w:p>
      <w:pPr>
        <w:spacing w:after="0" w:line="32"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United States signed a set of executive orders that lower deployment barriers and streamline federal support for developing new nuclear energy technologies. These actions follow a broader policy pivot, where national energy strategy is increasingly aligned with national security strategy. Compared to past decades, the recent policy recognition of the advantages of nuclear energy is exceptional and a positive development for the nuclear energy industry.</w:t>
      </w:r>
    </w:p>
    <w:p>
      <w:pPr>
        <w:spacing w:after="0" w:line="176" w:lineRule="exact"/>
        <w:rPr>
          <w:sz w:val="20"/>
          <w:szCs w:val="20"/>
          <w:color w:val="auto"/>
        </w:rPr>
      </w:pPr>
    </w:p>
    <w:p>
      <w:pPr>
        <w:ind w:left="40" w:right="219" w:firstLine="627"/>
        <w:spacing w:after="0" w:line="275" w:lineRule="auto"/>
        <w:rPr>
          <w:sz w:val="20"/>
          <w:szCs w:val="20"/>
          <w:color w:val="auto"/>
        </w:rPr>
      </w:pPr>
      <w:r>
        <w:rPr>
          <w:rFonts w:ascii="Times New Roman" w:cs="Times New Roman" w:eastAsia="Times New Roman" w:hAnsi="Times New Roman"/>
          <w:sz w:val="17"/>
          <w:szCs w:val="17"/>
          <w:color w:val="auto"/>
        </w:rPr>
        <w:t>In this policy and market demand context, we believe our IMSR Plant is well-suited to meet the urgent energy priorities now shaping markets and policy across advanced economies to deliver secure, reliable, and resilient power at a time when nations are reasserting control over critical infrastructure and supply chains.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79" w:firstLine="627"/>
        <w:spacing w:after="0" w:line="265" w:lineRule="auto"/>
        <w:rPr>
          <w:sz w:val="20"/>
          <w:szCs w:val="20"/>
          <w:color w:val="auto"/>
        </w:rPr>
      </w:pPr>
      <w:r>
        <w:rPr>
          <w:rFonts w:ascii="Times New Roman" w:cs="Times New Roman" w:eastAsia="Times New Roman" w:hAnsi="Times New Roman"/>
          <w:sz w:val="17"/>
          <w:szCs w:val="17"/>
          <w:color w:val="auto"/>
        </w:rPr>
        <w:t>The IMSR Plant we are developing offers a scalable solution for governments and industries seeking reliable energy at fossil fuel scale. It is designed to provide low-cost, firm power and deployable at or near sites of industrial demand enabling distributed generation with customizable thermal and electric output. This decentralized capability will reduce transmission risks, enhance energy autonomy, and support rapid deployment without requiring major grid expansion. As demand accelerates across sectors, we believe our IMSR Plant will enable and promote both economic competitiveness and sovereign energy resilience.</w:t>
      </w:r>
    </w:p>
    <w:p>
      <w:pPr>
        <w:spacing w:after="0" w:line="383" w:lineRule="exact"/>
        <w:rPr>
          <w:sz w:val="20"/>
          <w:szCs w:val="20"/>
          <w:color w:val="auto"/>
        </w:rPr>
      </w:pPr>
    </w:p>
    <w:p>
      <w:pPr>
        <w:ind w:left="40" w:right="99" w:firstLine="627"/>
        <w:spacing w:after="0" w:line="275" w:lineRule="auto"/>
        <w:rPr>
          <w:sz w:val="20"/>
          <w:szCs w:val="20"/>
          <w:color w:val="auto"/>
        </w:rPr>
      </w:pPr>
      <w:r>
        <w:rPr>
          <w:rFonts w:ascii="Times New Roman" w:cs="Times New Roman" w:eastAsia="Times New Roman" w:hAnsi="Times New Roman"/>
          <w:sz w:val="17"/>
          <w:szCs w:val="17"/>
          <w:color w:val="auto"/>
        </w:rPr>
        <w:t>We estimate our current serviceable addressable market (“SAM”) to exceed $1.4 trillion in Organisation for Economic Co-operation and Development (“OECD”) countries ($800 billion in grid-based electricity and $600 billion in high-temperature industrial heat), growing to $1.9 trillion by 2050.</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IMSR and Gen IV Technology</w:t>
      </w:r>
    </w:p>
    <w:p>
      <w:pPr>
        <w:spacing w:after="0" w:line="224" w:lineRule="exact"/>
        <w:rPr>
          <w:sz w:val="20"/>
          <w:szCs w:val="20"/>
          <w:color w:val="auto"/>
        </w:rPr>
      </w:pPr>
    </w:p>
    <w:p>
      <w:pPr>
        <w:ind w:left="40" w:right="199" w:firstLine="627"/>
        <w:spacing w:after="0" w:line="241" w:lineRule="auto"/>
        <w:rPr>
          <w:sz w:val="20"/>
          <w:szCs w:val="20"/>
          <w:color w:val="auto"/>
        </w:rPr>
      </w:pPr>
      <w:r>
        <w:rPr>
          <w:rFonts w:ascii="Times New Roman" w:cs="Times New Roman" w:eastAsia="Times New Roman" w:hAnsi="Times New Roman"/>
          <w:sz w:val="17"/>
          <w:szCs w:val="17"/>
          <w:color w:val="auto"/>
        </w:rPr>
        <w:t>Our IMSR is a Molten Salt Reactor (“MSR”), one of the generic advanced reactor technologies classified as a Generation IV (“Gen IV”) reactor by the Generation IV International Forum (“GIF”), an intergovernmental organization founded in 2001 by the United States, Canada, the United Kingdom, and other member countries as they aimed to respond to the economic, environmental and social requirements of nuclear energy in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century. GIF members seek to bring to market advanced reactors through international collaboration for their timely development. Its objectives for selecting Gen IV reactor technologies are those that encompass enhanced fuel efficiency, minimized waste generation, economic competitiveness, and adherence to rigorous safety and proliferation resistance measures.</w:t>
      </w:r>
    </w:p>
    <w:p>
      <w:pPr>
        <w:spacing w:after="0" w:line="193" w:lineRule="exact"/>
        <w:rPr>
          <w:sz w:val="20"/>
          <w:szCs w:val="20"/>
          <w:color w:val="auto"/>
        </w:rPr>
      </w:pPr>
    </w:p>
    <w:p>
      <w:pPr>
        <w:ind w:left="40" w:right="439" w:firstLine="627"/>
        <w:spacing w:after="0" w:line="275" w:lineRule="auto"/>
        <w:rPr>
          <w:sz w:val="20"/>
          <w:szCs w:val="20"/>
          <w:color w:val="auto"/>
        </w:rPr>
      </w:pPr>
      <w:r>
        <w:rPr>
          <w:rFonts w:ascii="Times New Roman" w:cs="Times New Roman" w:eastAsia="Times New Roman" w:hAnsi="Times New Roman"/>
          <w:sz w:val="17"/>
          <w:szCs w:val="17"/>
          <w:color w:val="auto"/>
        </w:rPr>
        <w:t>The Gen IV reactor class is a diverse set of reactor technologies, fundamentally distinct from legacy (Light Water Reactor) nuclear technology. Despite wide variations, Gen IV reactor technologies generally have a principal common operational attribute: they operate at higher temperatures (approximately 400°C to 800°C).</w:t>
      </w:r>
    </w:p>
    <w:p>
      <w:pPr>
        <w:spacing w:after="0" w:line="163" w:lineRule="exact"/>
        <w:rPr>
          <w:sz w:val="20"/>
          <w:szCs w:val="20"/>
          <w:color w:val="auto"/>
        </w:rPr>
      </w:pPr>
    </w:p>
    <w:p>
      <w:pPr>
        <w:ind w:left="40" w:right="79" w:firstLine="627"/>
        <w:spacing w:after="0" w:line="261" w:lineRule="auto"/>
        <w:rPr>
          <w:sz w:val="20"/>
          <w:szCs w:val="20"/>
          <w:color w:val="auto"/>
        </w:rPr>
      </w:pPr>
      <w:r>
        <w:rPr>
          <w:rFonts w:ascii="Times New Roman" w:cs="Times New Roman" w:eastAsia="Times New Roman" w:hAnsi="Times New Roman"/>
          <w:sz w:val="17"/>
          <w:szCs w:val="17"/>
          <w:color w:val="auto"/>
        </w:rPr>
        <w:t>We believe that the reactor technology and nuclear plant design choices that we have used in our IMSR Plant design address a major factor limiting the growth of nuclear energy supply: the fundamental capital inefficiency of legacy nuclear technology, and by extension the uncompetitive levelized cost of nuclear energy supply over full life of plant. Legacy nuclear technology was originally developed for military submarine propulsion and adapted for civilian use in the 1950s. New nuclear plants built using legacy nuclear technology today face increasing economic challenges and a threat of economic obsolescence due to rising construction costs, costly and complex regulatory requirements, and limited operational flexibility. We believe that new plants built on legacy nuclear technology will not be commercially viable without substantial public subsidies and sponsorship. In addition, they are generally only well suited for serving electric grid markets and are not well aligned with energy demand requirements for distributed and efficient supply of cost-competitive and flexible thermal and electric energy.</w:t>
      </w:r>
    </w:p>
    <w:p>
      <w:pPr>
        <w:spacing w:after="0" w:line="175" w:lineRule="exact"/>
        <w:rPr>
          <w:sz w:val="20"/>
          <w:szCs w:val="20"/>
          <w:color w:val="auto"/>
        </w:rPr>
      </w:pPr>
    </w:p>
    <w:p>
      <w:pPr>
        <w:ind w:left="40" w:right="119" w:firstLine="627"/>
        <w:spacing w:after="0" w:line="264" w:lineRule="auto"/>
        <w:rPr>
          <w:sz w:val="20"/>
          <w:szCs w:val="20"/>
          <w:color w:val="auto"/>
        </w:rPr>
      </w:pPr>
      <w:r>
        <w:rPr>
          <w:rFonts w:ascii="Times New Roman" w:cs="Times New Roman" w:eastAsia="Times New Roman" w:hAnsi="Times New Roman"/>
          <w:sz w:val="17"/>
          <w:szCs w:val="17"/>
          <w:color w:val="auto"/>
        </w:rPr>
        <w:t>An MSR uses a molten salt as both the nuclear fuel and reactor coolant, in contrast to legacy nuclear technology that uses a solid nuclear fuel arranged in assemblies of fuel rods and water as the reactor coolant. Molten salt coolants are thermally far more stable than water, which enables stable, high-temperature reactor operation. This importantly allows for high-efficiency steam turbines operation and electric power generation, as well as the direct supply of high-temperature thermal energy for industrial plant operators seeking clean energy alternatives to fossil fuel combustion in industrial processes. Our IMSR Plant incorporates our proprietary design of MSR.</w:t>
      </w:r>
    </w:p>
    <w:p>
      <w:pPr>
        <w:spacing w:after="0" w:line="172" w:lineRule="exact"/>
        <w:rPr>
          <w:sz w:val="20"/>
          <w:szCs w:val="20"/>
          <w:color w:val="auto"/>
        </w:rPr>
      </w:pPr>
    </w:p>
    <w:p>
      <w:pPr>
        <w:ind w:left="40" w:right="339" w:firstLine="627"/>
        <w:spacing w:after="0" w:line="266" w:lineRule="auto"/>
        <w:rPr>
          <w:sz w:val="20"/>
          <w:szCs w:val="20"/>
          <w:color w:val="auto"/>
        </w:rPr>
      </w:pPr>
      <w:r>
        <w:rPr>
          <w:rFonts w:ascii="Times New Roman" w:cs="Times New Roman" w:eastAsia="Times New Roman" w:hAnsi="Times New Roman"/>
          <w:sz w:val="17"/>
          <w:szCs w:val="17"/>
          <w:color w:val="auto"/>
        </w:rPr>
        <w:t>We have developed a recognized expertise in MSR technology since inception of our company in 2013. At the invitation of the Canadian government in May 2019, our Company, represented by our Chief Technology Officer, joined the Gen IV International Forum as a signatory to the MSR provisional System Steering Committee. To our knowledge our Company is currently the only private sector company that is a signatory; we believe this demonstrates the Company’s leadership position in MSR technology.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39" w:firstLine="627"/>
        <w:spacing w:after="0" w:line="266" w:lineRule="auto"/>
        <w:rPr>
          <w:sz w:val="20"/>
          <w:szCs w:val="20"/>
          <w:color w:val="auto"/>
        </w:rPr>
      </w:pPr>
      <w:r>
        <w:rPr>
          <w:rFonts w:ascii="Times New Roman" w:cs="Times New Roman" w:eastAsia="Times New Roman" w:hAnsi="Times New Roman"/>
          <w:sz w:val="17"/>
          <w:szCs w:val="17"/>
          <w:color w:val="auto"/>
        </w:rPr>
        <w:t>We have designed our IMSR Plant to be small and modular, which we believe will enable greater geographic siting flexibility and more efficient construction through the use of factory manufactured modules and their on-site assembly. We believe the market will demand clean, firm, and cost-competitive energy at, or near to, the point of industrial demand to mitigate grid and pipeline congestion. We believe that the IMSR Plant’s attributes including its size and modular architecture, and economic efficiency, may make it a competitive and timely solution to this demand.</w:t>
      </w:r>
    </w:p>
    <w:p>
      <w:pPr>
        <w:spacing w:after="0" w:line="170" w:lineRule="exact"/>
        <w:rPr>
          <w:sz w:val="20"/>
          <w:szCs w:val="20"/>
          <w:color w:val="auto"/>
        </w:rPr>
      </w:pPr>
    </w:p>
    <w:p>
      <w:pPr>
        <w:ind w:left="40" w:right="119" w:firstLine="627"/>
        <w:spacing w:after="0" w:line="262" w:lineRule="auto"/>
        <w:rPr>
          <w:sz w:val="20"/>
          <w:szCs w:val="20"/>
          <w:color w:val="auto"/>
        </w:rPr>
      </w:pPr>
      <w:r>
        <w:rPr>
          <w:rFonts w:ascii="Times New Roman" w:cs="Times New Roman" w:eastAsia="Times New Roman" w:hAnsi="Times New Roman"/>
          <w:sz w:val="17"/>
          <w:szCs w:val="17"/>
          <w:color w:val="auto"/>
        </w:rPr>
        <w:t>Our IMSR Plant will use low enriched uranium enriched to &lt;5% U235, which we refer to as standard-assay low enriched uranium (“SALEU”). This is the nuclear fuel used by the large majority of the world’s nuclear plants and widely available in today’s nuclear supply chain. We have intentionally avoided high-assay low enriched uranium enriched to between 15% and 19.9% U235 (“HALEU”), the nuclear fuel used by competing Gen IV technologies. We believe that HALEU presents substantially greater supply chain challenges than the SALEU used by the IMSR Plant. Accordingly, we believe that the use of SALEU will position the IMSR Plant more favorably for earlier deployment than other Gen IV technologies using HALEU as their nuclear fuel.</w:t>
      </w:r>
    </w:p>
    <w:p>
      <w:pPr>
        <w:spacing w:after="0" w:line="177" w:lineRule="exact"/>
        <w:rPr>
          <w:sz w:val="20"/>
          <w:szCs w:val="20"/>
          <w:color w:val="auto"/>
        </w:rPr>
      </w:pPr>
    </w:p>
    <w:p>
      <w:pPr>
        <w:ind w:left="40" w:right="279" w:firstLine="627"/>
        <w:spacing w:after="0" w:line="264" w:lineRule="auto"/>
        <w:rPr>
          <w:sz w:val="20"/>
          <w:szCs w:val="20"/>
          <w:color w:val="auto"/>
        </w:rPr>
      </w:pPr>
      <w:r>
        <w:rPr>
          <w:rFonts w:ascii="Times New Roman" w:cs="Times New Roman" w:eastAsia="Times New Roman" w:hAnsi="Times New Roman"/>
          <w:sz w:val="17"/>
          <w:szCs w:val="17"/>
          <w:color w:val="auto"/>
        </w:rPr>
        <w:t>Since 2015, we have engaged with U.S. and Canadian nuclear regulators and achieved clear IMSR Plant regulatory milestones, which are described in the “Regulatory Matters” section below. Based on our experiences from our engagements with nuclear regulators, including the Canadian regulator’s programmatic review of our IMSR Plant design concluded in April 2023, we believe that the IMSR Plant is well-positioned to secure regulatory approval for commercial operations in the U.S. and other target markets upon application by customers. Commercialization of the IMSR Plant is subject to applicable regulatory approvals. See “— Regulatory Matters” below.</w:t>
      </w:r>
    </w:p>
    <w:p>
      <w:pPr>
        <w:spacing w:after="0" w:line="172" w:lineRule="exact"/>
        <w:rPr>
          <w:sz w:val="20"/>
          <w:szCs w:val="20"/>
          <w:color w:val="auto"/>
        </w:rPr>
      </w:pPr>
    </w:p>
    <w:p>
      <w:pPr>
        <w:ind w:left="40" w:right="179" w:firstLine="627"/>
        <w:spacing w:after="0" w:line="264" w:lineRule="auto"/>
        <w:rPr>
          <w:sz w:val="20"/>
          <w:szCs w:val="20"/>
          <w:color w:val="auto"/>
        </w:rPr>
      </w:pPr>
      <w:r>
        <w:rPr>
          <w:rFonts w:ascii="Times New Roman" w:cs="Times New Roman" w:eastAsia="Times New Roman" w:hAnsi="Times New Roman"/>
          <w:sz w:val="17"/>
          <w:szCs w:val="17"/>
          <w:color w:val="auto"/>
        </w:rPr>
        <w:t>Our business model is intended to support long-term, recurring, and capital-efficient revenue streams through the development, commercialization, and deployment of our IMSR Plant. Our customers will be IMSR Plant project developers who are also likely to be the owner-operators of the IMSR Plant to whom we plan to provide engineering and construction services and supply fuel and key components. We intentionally avoid a build-own-operate model for nuclear plants, preferring to leverage scale in our nuclear supply chain to support faster deployment of IMSR Plants to the owners/operators of nuclear plants, subject to regulatory and market conditions.</w:t>
      </w:r>
    </w:p>
    <w:p>
      <w:pPr>
        <w:spacing w:after="0" w:line="172" w:lineRule="exact"/>
        <w:rPr>
          <w:sz w:val="20"/>
          <w:szCs w:val="20"/>
          <w:color w:val="auto"/>
        </w:rPr>
      </w:pPr>
    </w:p>
    <w:p>
      <w:pPr>
        <w:ind w:left="40" w:right="79" w:firstLine="627"/>
        <w:spacing w:after="0" w:line="261" w:lineRule="auto"/>
        <w:rPr>
          <w:sz w:val="20"/>
          <w:szCs w:val="20"/>
          <w:color w:val="auto"/>
        </w:rPr>
      </w:pPr>
      <w:r>
        <w:rPr>
          <w:rFonts w:ascii="Times New Roman" w:cs="Times New Roman" w:eastAsia="Times New Roman" w:hAnsi="Times New Roman"/>
          <w:sz w:val="17"/>
          <w:szCs w:val="17"/>
          <w:color w:val="auto"/>
        </w:rPr>
        <w:t>We expect our revenues to derive from four principal streams — (i) pre-construction services, (ii) construction services and component supply, including the main reactor component called the “IMSR Core-unit”, (iii) post-construction IMSR Core-unit supply and (iv) post-construction IMSR fuel supply. Each revenue stream is anticipated to be repeatable across multiple IMSR Plant projects simultaneously, and IMSR Core-unit and IMSR fuel supply revenues are structured to recur throughout the 56-year operating life of an IMSR Plant. The operating life of the IMSR Plant is 56 years by design; revenue generation for the Company begins during pre-construction and construction, typically four years or more, making the period of revenue generation for the Company over 60 years excluding decommissioning services. Each subsequent IMSR Core-unit replacement cycle provides an additional revenue opportunity at attractive margins.</w:t>
      </w:r>
    </w:p>
    <w:p>
      <w:pPr>
        <w:spacing w:after="0" w:line="179" w:lineRule="exact"/>
        <w:rPr>
          <w:sz w:val="20"/>
          <w:szCs w:val="20"/>
          <w:color w:val="auto"/>
        </w:rPr>
      </w:pPr>
    </w:p>
    <w:p>
      <w:pPr>
        <w:ind w:left="40" w:right="79" w:firstLine="627"/>
        <w:spacing w:after="0" w:line="259" w:lineRule="auto"/>
        <w:rPr>
          <w:sz w:val="20"/>
          <w:szCs w:val="20"/>
          <w:color w:val="auto"/>
        </w:rPr>
      </w:pPr>
      <w:r>
        <w:rPr>
          <w:rFonts w:ascii="Times New Roman" w:cs="Times New Roman" w:eastAsia="Times New Roman" w:hAnsi="Times New Roman"/>
          <w:sz w:val="17"/>
          <w:szCs w:val="17"/>
          <w:color w:val="auto"/>
        </w:rPr>
        <w:t>In response to evolving market demand for our IMSR Plant, we have a pipeline of over ten early-stage IMSR Plant projects each at an identified site. We play an active role in the establishment of each project and its member consortium. An IMSR Plant project is established with an initial consortium of members, and each includes one or more of off-takers, site owners, nuclear plant operators, and suppliers expressing interest in the project with an MOU and/or LOI. Our portfolio of early-stage projects covers a range of industrial sectors such as mining, chemical and petrochemical production, data centers, and grid power provision. Our near-term project milestones include the completion of site characterization work, which is the antecedent to the project’s submission of a USNRC Construction Permit application. We establish a project’s initial consortium by drawing from our portfolio of over 50 collaborative industry relationships, where each such relationship has expressed an interest in our IMSR Plant and has undertaken investigations and due diligence. We expect these collaborative industry relationships to support the growth of our project pipeline with additional IMSR Plant projects. Illustrating this approach to IMSR Plant project development from the formation of its initial consortium, we have announced developments with consortia members and projects over the last 12 months with industrials, suppliers, research partners, and site owners, such as Schneider Electric, Zachry Group, Viaro Energy, Energy Solutions, Texas A&amp;M University and most recently Ameresco. To illustrate further, our Texas A&amp;M project consortium consists of an EPC, a nuclear utility, the site owner, a nuclear fuel supply, and other suppliers.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firstLine="627"/>
        <w:spacing w:after="0" w:line="260" w:lineRule="auto"/>
        <w:rPr>
          <w:sz w:val="20"/>
          <w:szCs w:val="20"/>
          <w:color w:val="auto"/>
        </w:rPr>
      </w:pPr>
      <w:r>
        <w:rPr>
          <w:rFonts w:ascii="Times New Roman" w:cs="Times New Roman" w:eastAsia="Times New Roman" w:hAnsi="Times New Roman"/>
          <w:sz w:val="17"/>
          <w:szCs w:val="17"/>
          <w:color w:val="auto"/>
        </w:rPr>
        <w:t>Our Texas A&amp;M project is a collaboration with Texas A&amp;M University, a leading nuclear engineering and technology university in the U.S., to construct and operate a commercial IMSR Plant at its RELLIS campus in Bryan, Texas, as well as undertake IMSR system R&amp;D testing activities employing the expert resources of the university’s engineering faculty. Our collaboration with Texas A&amp;M has the potential to accelerate our business plans, in particular as it aligns with recent policy statements supporting the commercialization of advanced nuclear technologies made by the Trump Administration, and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U.S. Federal and Texas state governments.</w:t>
      </w:r>
    </w:p>
    <w:p>
      <w:pPr>
        <w:spacing w:after="0" w:line="204" w:lineRule="exact"/>
        <w:rPr>
          <w:sz w:val="20"/>
          <w:szCs w:val="20"/>
          <w:color w:val="auto"/>
        </w:rPr>
      </w:pPr>
    </w:p>
    <w:p>
      <w:pPr>
        <w:ind w:left="40" w:right="179" w:firstLine="627"/>
        <w:spacing w:after="0" w:line="241" w:lineRule="auto"/>
        <w:rPr>
          <w:sz w:val="20"/>
          <w:szCs w:val="20"/>
          <w:color w:val="auto"/>
        </w:rPr>
      </w:pPr>
      <w:r>
        <w:rPr>
          <w:rFonts w:ascii="Times New Roman" w:cs="Times New Roman" w:eastAsia="Times New Roman" w:hAnsi="Times New Roman"/>
          <w:sz w:val="17"/>
          <w:szCs w:val="17"/>
          <w:color w:val="auto"/>
        </w:rPr>
        <w:t>We believe the development and commercialization of the IMSR Plant aligns with increasing U.S. and international policy support for nuclear innovation, driven by national energy supply insecurities, and elevated by geopolitical risks such as the Ukraine War. Other recent international developments, such as the declarations at the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Conference of the Parties to the UN Framework Convention on Climate Change (“COP28”) in Dubai, have underscored the necessity of a massive expansion of nuclear energy supply to achieve policy, economic and environmental goals. Our technology development roadmap targets first commercial operations of an IMSR Plant during 2034, subject to regulatory approval and financing, with commercial fleet deployment anticipated in the late 2030s.</w:t>
      </w:r>
    </w:p>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Our IMSR Plant’s Competitive Strengths</w:t>
      </w:r>
    </w:p>
    <w:p>
      <w:pPr>
        <w:spacing w:after="0" w:line="224" w:lineRule="exact"/>
        <w:rPr>
          <w:sz w:val="20"/>
          <w:szCs w:val="20"/>
          <w:color w:val="auto"/>
        </w:rPr>
      </w:pPr>
    </w:p>
    <w:p>
      <w:pPr>
        <w:ind w:left="40" w:right="439" w:firstLine="627"/>
        <w:spacing w:after="0" w:line="275" w:lineRule="auto"/>
        <w:rPr>
          <w:sz w:val="20"/>
          <w:szCs w:val="20"/>
          <w:color w:val="auto"/>
        </w:rPr>
      </w:pPr>
      <w:r>
        <w:rPr>
          <w:rFonts w:ascii="Times New Roman" w:cs="Times New Roman" w:eastAsia="Times New Roman" w:hAnsi="Times New Roman"/>
          <w:sz w:val="17"/>
          <w:szCs w:val="17"/>
          <w:color w:val="auto"/>
        </w:rPr>
        <w:t>Our IMSR Plant incorporates operating characteristics that differentiate it from nuclear plants built using legacy nuclear technology as well as other competing Gen IV reactor technologies. We believe that these differentiating operating characteristics create competitive advantages for our IMSR Plant.</w:t>
      </w:r>
    </w:p>
    <w:p>
      <w:pPr>
        <w:spacing w:after="0" w:line="161" w:lineRule="exact"/>
        <w:rPr>
          <w:sz w:val="20"/>
          <w:szCs w:val="20"/>
          <w:color w:val="auto"/>
        </w:rPr>
      </w:pPr>
    </w:p>
    <w:p>
      <w:pPr>
        <w:ind w:left="40" w:right="59" w:firstLine="634"/>
        <w:spacing w:after="0" w:line="260" w:lineRule="auto"/>
        <w:tabs>
          <w:tab w:leader="none" w:pos="1075"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High-temperature and low-pressure reactor operation with high inherent safety for efficient electricity generation and thermal energy supply for industrial processes. </w:t>
      </w:r>
      <w:r>
        <w:rPr>
          <w:rFonts w:ascii="Times New Roman" w:cs="Times New Roman" w:eastAsia="Times New Roman" w:hAnsi="Times New Roman"/>
          <w:sz w:val="17"/>
          <w:szCs w:val="17"/>
          <w:color w:val="auto"/>
        </w:rPr>
        <w:t>Our IMSR Plant’s MSR technology is designed to enable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to supply thermal energy at 585°C from a reactor that operates at low pressure with high inherent safety. These are not the defining characteristics of legacy nuclear technology nor many other Gen IV technologies. Importantly at this high temperature, the IMSR Plant facilitates high-efficiency steam turbine operation and electric power generation as well as direct application to a broad set of industrial processes that require these high temperatures, such as chemical synthesis, petrochemical refining, materials manufacturing, and efficient hydrogen production. By comparison, legacy nuclear technologies typically supply thermal energy at &lt;300 °C, which when used for steam generation leads to lower efficiency for turbine operation and electric power generation. Other current Gen IV competing technologies generally range from 440-585 °C and are less well-suited for high temperature industrial applications.</w:t>
      </w:r>
    </w:p>
    <w:p>
      <w:pPr>
        <w:spacing w:after="0" w:line="179" w:lineRule="exact"/>
        <w:rPr>
          <w:rFonts w:ascii="Times New Roman" w:cs="Times New Roman" w:eastAsia="Times New Roman" w:hAnsi="Times New Roman"/>
          <w:sz w:val="17"/>
          <w:szCs w:val="17"/>
          <w:b w:val="1"/>
          <w:bCs w:val="1"/>
          <w:color w:val="auto"/>
        </w:rPr>
      </w:pPr>
    </w:p>
    <w:p>
      <w:pPr>
        <w:ind w:left="40" w:right="99" w:firstLine="634"/>
        <w:spacing w:after="0" w:line="262" w:lineRule="auto"/>
        <w:tabs>
          <w:tab w:leader="none" w:pos="102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Availability of Nuclear fuel supply</w:t>
      </w:r>
      <w:r>
        <w:rPr>
          <w:rFonts w:ascii="Times New Roman" w:cs="Times New Roman" w:eastAsia="Times New Roman" w:hAnsi="Times New Roman"/>
          <w:sz w:val="17"/>
          <w:szCs w:val="17"/>
          <w:color w:val="auto"/>
        </w:rPr>
        <w:t>. Our IMSR Plant uses SALEU nuclear fuel, as opposed to more expensive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supply-constrained HALEU nuclear fuel relied upon by other competing Gen IV technologies, including those using MSR technology. SALEU fuel has been the standard fuel used by legacy nuclear technologies for many decades, and as such, is generally available from the current nuclear supply chain in commercial quantities, and the regulatory requirements for its safe and secure use are long established and widely understood in the nuclear industry. Our use of SALEU aligns our IMSR Plant with existing fuel suppliers and fuel supply regulatory frameworks for production and transportation, potentially supporting earlier commercialization. We believe that our IMSR Plant is one of the very few Gen IV nuclear plant designs that provides high temperature output using SALEU as opposed to HALEU nuclear fuel.</w:t>
      </w:r>
    </w:p>
    <w:p>
      <w:pPr>
        <w:spacing w:after="0" w:line="172" w:lineRule="exact"/>
        <w:rPr>
          <w:rFonts w:ascii="Times New Roman" w:cs="Times New Roman" w:eastAsia="Times New Roman" w:hAnsi="Times New Roman"/>
          <w:sz w:val="17"/>
          <w:szCs w:val="17"/>
          <w:b w:val="1"/>
          <w:bCs w:val="1"/>
          <w:color w:val="auto"/>
        </w:rPr>
      </w:pPr>
    </w:p>
    <w:p>
      <w:pPr>
        <w:ind w:left="40" w:right="59" w:firstLine="634"/>
        <w:spacing w:after="0" w:line="264" w:lineRule="auto"/>
        <w:tabs>
          <w:tab w:leader="none" w:pos="10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Cost Efficiencies and Use Flexibility from Separating Nuclear and Thermal/Electrical systems.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IMSR Plant’s Nuclear Facility consists of nuclear systems that are required to comply with nuclear regulatory standards for operation (see Figure 3 on page 18 below), the Plant’s Thermal and Electric Facility are separate and remote from nuclear systems. We believe that as a result of MSR technology and plant design features, the Thermal and Electric Facility systems fall outside the scope of nuclear regulation, which we believe provide the IMSR Plant a competitive advantage compared to legacy nuclear reactors and most other Gen IV nuclear technologies.</w:t>
      </w:r>
    </w:p>
    <w:p>
      <w:pPr>
        <w:spacing w:after="0" w:line="174" w:lineRule="exact"/>
        <w:rPr>
          <w:sz w:val="20"/>
          <w:szCs w:val="20"/>
          <w:color w:val="auto"/>
        </w:rPr>
      </w:pPr>
    </w:p>
    <w:p>
      <w:pPr>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This regulatory separation is typically not achievable with legacy nuclear technology nor with other Gen IV technologies, which generally integrate nuclear and thermal supply systems within a single set of regulated nuclear systems. We believe that the functional and regulatory separation of the IMSR Thermal and Electric Facility enables commercial flexibility to tailor the IMSR Plant’s thermal and electrical output to specifical industrial needs, particularly for near- or co-located deployment at industrial facilities.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addition, as Thermal and Electric Facility systems and their components are not required to meet nuclear-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grade standards, we believe that we will be able to construct the Thermal and Electric Facility with many off-the-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shelf components from the broader industrial supply chain. We anticipate that this will reduce costs, reduce procurement</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timelines, and enable greater scalability in delivery.</w:t>
      </w:r>
    </w:p>
    <w:p>
      <w:pPr>
        <w:spacing w:after="0" w:line="202" w:lineRule="exact"/>
        <w:rPr>
          <w:sz w:val="20"/>
          <w:szCs w:val="20"/>
          <w:color w:val="auto"/>
        </w:rPr>
      </w:pPr>
    </w:p>
    <w:p>
      <w:pPr>
        <w:ind w:left="40" w:right="199" w:firstLine="634"/>
        <w:spacing w:after="0" w:line="264" w:lineRule="auto"/>
        <w:tabs>
          <w:tab w:leader="none" w:pos="10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Load-following and black-start capability. </w:t>
      </w:r>
      <w:r>
        <w:rPr>
          <w:rFonts w:ascii="Times New Roman" w:cs="Times New Roman" w:eastAsia="Times New Roman" w:hAnsi="Times New Roman"/>
          <w:sz w:val="17"/>
          <w:szCs w:val="17"/>
          <w:color w:val="auto"/>
        </w:rPr>
        <w:t>Our IMSR Plant is designed to be capable of rapid load-following, enabling it to back-up variable wind and solar generation. Our IMSR Plant is also capable of starting and operating without grid power (“black-start capability”); nuclear plants using legacy nuclear technology are typically not black-</w:t>
      </w:r>
    </w:p>
    <w:p>
      <w:pPr>
        <w:spacing w:after="0" w:line="1" w:lineRule="exact"/>
        <w:rPr>
          <w:rFonts w:ascii="Times New Roman" w:cs="Times New Roman" w:eastAsia="Times New Roman" w:hAnsi="Times New Roman"/>
          <w:sz w:val="17"/>
          <w:szCs w:val="17"/>
          <w:color w:val="auto"/>
        </w:rPr>
      </w:pPr>
    </w:p>
    <w:p>
      <w:pPr>
        <w:ind w:left="40" w:right="279"/>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start capable and exhibit poor if any capability to load-follow. We believe these features of our IMSR Plant will contribute to grid resilience and reliability and therefore are valued by grid operators.</w:t>
      </w:r>
    </w:p>
    <w:p>
      <w:pPr>
        <w:spacing w:after="0" w:line="163" w:lineRule="exact"/>
        <w:rPr>
          <w:rFonts w:ascii="Times New Roman" w:cs="Times New Roman" w:eastAsia="Times New Roman" w:hAnsi="Times New Roman"/>
          <w:sz w:val="17"/>
          <w:szCs w:val="17"/>
          <w:color w:val="auto"/>
        </w:rPr>
      </w:pPr>
    </w:p>
    <w:p>
      <w:pPr>
        <w:ind w:left="40" w:right="179" w:firstLine="634"/>
        <w:spacing w:after="0" w:line="266" w:lineRule="auto"/>
        <w:tabs>
          <w:tab w:leader="none" w:pos="10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Plant size and siting flexibility. </w:t>
      </w:r>
      <w:r>
        <w:rPr>
          <w:rFonts w:ascii="Times New Roman" w:cs="Times New Roman" w:eastAsia="Times New Roman" w:hAnsi="Times New Roman"/>
          <w:sz w:val="17"/>
          <w:szCs w:val="17"/>
          <w:color w:val="auto"/>
        </w:rPr>
        <w:t>Our IMSR Plant is sized to supply 822MW (net) thermal, which can be 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generate 390MW (net) of electricity if desired. We believe this scale is well-suited for both grid and industrial customers seeking distributed generation and both thermal and electric demand. The IMSR Plant is intended to support near- or co-located siting including “behind-the-fence”, enabling direct delivery of at-scale, clean, firm thermal and electric energy to the point of industrial demand, and therefore avoiding electric grid transmission and natural gas pipeline congestion.</w:t>
      </w:r>
    </w:p>
    <w:p>
      <w:pPr>
        <w:spacing w:after="0" w:line="169" w:lineRule="exact"/>
        <w:rPr>
          <w:rFonts w:ascii="Times New Roman" w:cs="Times New Roman" w:eastAsia="Times New Roman" w:hAnsi="Times New Roman"/>
          <w:sz w:val="17"/>
          <w:szCs w:val="17"/>
          <w:color w:val="auto"/>
        </w:rPr>
      </w:pPr>
    </w:p>
    <w:p>
      <w:pPr>
        <w:jc w:val="both"/>
        <w:ind w:left="40" w:right="199" w:firstLine="634"/>
        <w:spacing w:after="0" w:line="270" w:lineRule="auto"/>
        <w:tabs>
          <w:tab w:leader="none" w:pos="10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Modular architecture for efficient construction. </w:t>
      </w:r>
      <w:r>
        <w:rPr>
          <w:rFonts w:ascii="Times New Roman" w:cs="Times New Roman" w:eastAsia="Times New Roman" w:hAnsi="Times New Roman"/>
          <w:sz w:val="17"/>
          <w:szCs w:val="17"/>
          <w:color w:val="auto"/>
        </w:rPr>
        <w:t>Our IMSR Plant is designed with modular architecture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support factory fabrication of key systems and components. This modularity is intended to substitute on-site construction with more efficient and lower cost factory-based construction, enable further efficiencies from serial component production, and ultimately reduce IMSR Plant construction time and cost.</w:t>
      </w:r>
    </w:p>
    <w:p>
      <w:pPr>
        <w:spacing w:after="0" w:line="164" w:lineRule="exact"/>
        <w:rPr>
          <w:rFonts w:ascii="Times New Roman" w:cs="Times New Roman" w:eastAsia="Times New Roman" w:hAnsi="Times New Roman"/>
          <w:sz w:val="17"/>
          <w:szCs w:val="17"/>
          <w:color w:val="auto"/>
        </w:rPr>
      </w:pPr>
    </w:p>
    <w:p>
      <w:pPr>
        <w:ind w:left="40" w:right="239" w:firstLine="634"/>
        <w:spacing w:after="0" w:line="264" w:lineRule="auto"/>
        <w:tabs>
          <w:tab w:leader="none" w:pos="1075"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Supply Chain. </w:t>
      </w:r>
      <w:r>
        <w:rPr>
          <w:rFonts w:ascii="Times New Roman" w:cs="Times New Roman" w:eastAsia="Times New Roman" w:hAnsi="Times New Roman"/>
          <w:sz w:val="17"/>
          <w:szCs w:val="17"/>
          <w:color w:val="auto"/>
        </w:rPr>
        <w:t>Our supply chain strategy covers sourcing of components such as reactor vessels, heat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exchangers and steam turbines, as well as materials such as graphite and the chemical components of the IMSR fuel salt eutectic (“IMSR Fuel Salt”) and services necessary to construct and operate IMSR Plants. Our IMSR Fuel Salt avoids the use of isotopically enriched lithium or beryllium proposed by others. Our supply chain strategy aims to secure these components, materials and services from suppliers at the scale necessary to achieve our objective of fleet operation of IMSR Plants in the late 2030s.</w:t>
      </w:r>
    </w:p>
    <w:p>
      <w:pPr>
        <w:spacing w:after="0" w:line="171" w:lineRule="exact"/>
        <w:rPr>
          <w:rFonts w:ascii="Times New Roman" w:cs="Times New Roman" w:eastAsia="Times New Roman" w:hAnsi="Times New Roman"/>
          <w:sz w:val="17"/>
          <w:szCs w:val="17"/>
          <w:b w:val="1"/>
          <w:bCs w:val="1"/>
          <w:color w:val="auto"/>
        </w:rPr>
      </w:pPr>
    </w:p>
    <w:p>
      <w:pPr>
        <w:ind w:left="40" w:right="99" w:firstLine="634"/>
        <w:spacing w:after="0" w:line="264" w:lineRule="auto"/>
        <w:tabs>
          <w:tab w:leader="none" w:pos="1075"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Demonstrated MSR technology. </w:t>
      </w:r>
      <w:r>
        <w:rPr>
          <w:rFonts w:ascii="Times New Roman" w:cs="Times New Roman" w:eastAsia="Times New Roman" w:hAnsi="Times New Roman"/>
          <w:sz w:val="17"/>
          <w:szCs w:val="17"/>
          <w:color w:val="auto"/>
        </w:rPr>
        <w:t>Our IMSR design intention has been to leverage research and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MSRs by national laboratories over many decades, starting in the 1950s and 1960s at the U.S. Department of Energy’s Oak Ridge National Laboratory (ORNL), which included the construction and operation of three test reactors. Our design process has combined this extensive body of historic R&amp;D with the powerful computing and modeling capabilities of the modern nuclear industry. We believe that this approach facilitates an efficient IMSR Plant design process and supports our timetable for commercialization.</w:t>
      </w:r>
    </w:p>
    <w:p>
      <w:pPr>
        <w:spacing w:after="0" w:line="171" w:lineRule="exact"/>
        <w:rPr>
          <w:rFonts w:ascii="Times New Roman" w:cs="Times New Roman" w:eastAsia="Times New Roman" w:hAnsi="Times New Roman"/>
          <w:sz w:val="17"/>
          <w:szCs w:val="17"/>
          <w:b w:val="1"/>
          <w:bCs w:val="1"/>
          <w:color w:val="auto"/>
        </w:rPr>
      </w:pPr>
    </w:p>
    <w:p>
      <w:pPr>
        <w:ind w:left="40" w:right="79" w:firstLine="634"/>
        <w:spacing w:after="0" w:line="264" w:lineRule="auto"/>
        <w:tabs>
          <w:tab w:leader="none" w:pos="10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Experienced Professional Management Team with Deep Technical Experience. </w:t>
      </w:r>
      <w:r>
        <w:rPr>
          <w:rFonts w:ascii="Times New Roman" w:cs="Times New Roman" w:eastAsia="Times New Roman" w:hAnsi="Times New Roman"/>
          <w:sz w:val="17"/>
          <w:szCs w:val="17"/>
          <w:color w:val="auto"/>
        </w:rPr>
        <w:t>We have a highly educated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growing workforce of approximately 80, 29 of whom have advanced degrees in engineering and science. We have a seasoned leadership team with over 170 years of cumulative experience in the nuclear and energy industries, in addition to those with nuclear regulatory experience over many decades with the U.S. Nuclear Regulatory Commission (“USNRC”) and the Canadian Nuclear Safety Commission (“CNSC”). Together, we bring expertise and experience from several industries, such as from the nuclear power, aerospace, and petrochemical sectors, to deliver on our mission.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Historical Results and Recent Developments</w:t>
      </w:r>
    </w:p>
    <w:p>
      <w:pPr>
        <w:spacing w:after="0" w:line="224" w:lineRule="exact"/>
        <w:rPr>
          <w:sz w:val="20"/>
          <w:szCs w:val="20"/>
          <w:color w:val="auto"/>
        </w:rPr>
      </w:pPr>
    </w:p>
    <w:p>
      <w:pPr>
        <w:ind w:left="40" w:right="79" w:firstLine="627"/>
        <w:spacing w:after="0" w:line="260" w:lineRule="auto"/>
        <w:rPr>
          <w:sz w:val="20"/>
          <w:szCs w:val="20"/>
          <w:color w:val="auto"/>
        </w:rPr>
      </w:pPr>
      <w:r>
        <w:rPr>
          <w:rFonts w:ascii="Times New Roman" w:cs="Times New Roman" w:eastAsia="Times New Roman" w:hAnsi="Times New Roman"/>
          <w:sz w:val="17"/>
          <w:szCs w:val="17"/>
          <w:color w:val="auto"/>
        </w:rPr>
        <w:t>To date our revenues have derived from preliminary site assessment and pre-construction engineering services. Since inception, we have invested substantial resources in R&amp;D and testing of IMSR nuclear systems to complete the IMSR Plant design and to prepare for regulatory submissions. Accordingly, we have a history of operating losses and negative cash flows since inception funded with a series of private placements; our accumulated deficit is $124.6 million as of December 31, 2025. To commercialize our IMSR Plant will require additional capital investments; since December 31, 2024, we have raised $36.7 million of additional capital, including a $25.8 million preferred stock private placement on July 1, 2025, and $292 million of gross proceeds before expenses from the business combination as discussed above. For further information regarding our historical results and financial condition, see “Management’s Discussion and Analysis of Financial Condition and Results of Operation of Terrestrial Energy” and our consolidated financial statements included elsewhere herein. For information regarding risks regarding our business, see “Risk Factors — Risks Related to Our Business and Industry” and “— Risks Related to Compliance with Law, Government Regulation and Litigation” and “— Risks Related to Terrestrial Energy’s Capital Resources.”</w:t>
      </w:r>
    </w:p>
    <w:p>
      <w:pPr>
        <w:spacing w:after="0" w:line="3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Industry</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Energy market supply-demand dynamics</w:t>
      </w:r>
    </w:p>
    <w:p>
      <w:pPr>
        <w:spacing w:after="0" w:line="224" w:lineRule="exact"/>
        <w:rPr>
          <w:sz w:val="20"/>
          <w:szCs w:val="20"/>
          <w:color w:val="auto"/>
        </w:rPr>
      </w:pPr>
    </w:p>
    <w:p>
      <w:pPr>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We believe recent energy market fundamentals create a compelling demand case for a large-scale expansion of nuclear energy supply. Global energy demand continues to increase driven in part by energy-intensive industrial transformation. In parallel, governments and major industrials and technology companies are increasingly focused on technologies that can deliver clean, firm, and cost-competitive energy supply at the point of energy demand. We believe nuclear energy is the only scalable supply source that meets these anticipated demand requirements.</w:t>
      </w:r>
    </w:p>
    <w:p>
      <w:pPr>
        <w:spacing w:after="0" w:line="170" w:lineRule="exact"/>
        <w:rPr>
          <w:sz w:val="20"/>
          <w:szCs w:val="20"/>
          <w:color w:val="auto"/>
        </w:rPr>
      </w:pPr>
    </w:p>
    <w:p>
      <w:pPr>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Additional structural drivers are also contributing to increased demand for new nuclear capacity and distributed energy generation solutions. These include energy security concerns, grid transmission and natural gas pipeline congestion, and industrial decarbonization needs. We believe these pressures, amplified both by government policy and growing energy demand from energy-intensive industries, create a strong stimulus for the nuclear sector to deliver supply solutions.</w:t>
      </w:r>
    </w:p>
    <w:p>
      <w:pPr>
        <w:spacing w:after="0" w:line="168" w:lineRule="exact"/>
        <w:rPr>
          <w:sz w:val="20"/>
          <w:szCs w:val="20"/>
          <w:color w:val="auto"/>
        </w:rPr>
      </w:pPr>
    </w:p>
    <w:p>
      <w:pPr>
        <w:ind w:left="40" w:right="59" w:firstLine="627"/>
        <w:spacing w:after="0" w:line="260" w:lineRule="auto"/>
        <w:rPr>
          <w:sz w:val="20"/>
          <w:szCs w:val="20"/>
          <w:color w:val="auto"/>
        </w:rPr>
      </w:pPr>
      <w:r>
        <w:rPr>
          <w:rFonts w:ascii="Times New Roman" w:cs="Times New Roman" w:eastAsia="Times New Roman" w:hAnsi="Times New Roman"/>
          <w:sz w:val="17"/>
          <w:szCs w:val="17"/>
          <w:color w:val="auto"/>
        </w:rPr>
        <w:t>Governments are responding with significant and clear policy support as well as ambitious deployment targets. At COP28 in 2023, the United States and more than twenty other countries made commitments to triple global installed nuclear capacity by 2050. We believe the operational and performance merits of our IMSR Plant place us in a competitive market position as these strong sector dynamics unfold. The Trump administration has continued to signal its support for nuclear energy, with specific policy steps to promote domestic nuclear energy, including supporting advanced reactors, expediting construction permit review, and supporting continued research and development, and issued a series of executive orders on May 23, 2025, further promoting domestic nuclear energy. President Trump’s executive order in May 2025 created a new U.S. Department of Energy (“DOE”) pathway (the Advanced Reactor Pilot Program) to fast-track commercial licensing activities for small and modular nuclear plants that use advanced reactor technologies, expediting their broad deployment. On August 12, 2025, the Company announced that it had been selected for the DOE’s Advanced Reactor Pilot Program.</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Fundamental limitations of legacy nuclear technology</w:t>
      </w:r>
    </w:p>
    <w:p>
      <w:pPr>
        <w:spacing w:after="0" w:line="224" w:lineRule="exact"/>
        <w:rPr>
          <w:sz w:val="20"/>
          <w:szCs w:val="20"/>
          <w:color w:val="auto"/>
        </w:rPr>
      </w:pPr>
    </w:p>
    <w:p>
      <w:pPr>
        <w:ind w:left="40" w:right="219" w:firstLine="627"/>
        <w:spacing w:after="0" w:line="262" w:lineRule="auto"/>
        <w:rPr>
          <w:sz w:val="20"/>
          <w:szCs w:val="20"/>
          <w:color w:val="auto"/>
        </w:rPr>
      </w:pPr>
      <w:r>
        <w:rPr>
          <w:rFonts w:ascii="Times New Roman" w:cs="Times New Roman" w:eastAsia="Times New Roman" w:hAnsi="Times New Roman"/>
          <w:sz w:val="17"/>
          <w:szCs w:val="17"/>
          <w:color w:val="auto"/>
        </w:rPr>
        <w:t>In our view, nuclear plants using legacy nuclear technology are not well-positioned to take advantage of this nuclear renaissance as they are saddled with acute economic and efficiency challenges. Over the past decade, every new nuclear plant construction project in North America and Europe using legacy nuclear technology experienced significant cost overruns, construction delays, and other economic and operational challenges. We believe these outcomes are the manifestations of the economic limitations of legacy nuclear technology due to low capital efficiency, high upfront costs, and long construction timelines. We believe these projects are economically cost-prohibitive on a standalone project basis and only moved forward due to large-scale public sector sponsorship.</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39" w:firstLine="627"/>
        <w:spacing w:after="0" w:line="269" w:lineRule="auto"/>
        <w:rPr>
          <w:sz w:val="20"/>
          <w:szCs w:val="20"/>
          <w:color w:val="auto"/>
        </w:rPr>
      </w:pPr>
      <w:r>
        <w:rPr>
          <w:rFonts w:ascii="Times New Roman" w:cs="Times New Roman" w:eastAsia="Times New Roman" w:hAnsi="Times New Roman"/>
          <w:sz w:val="17"/>
          <w:szCs w:val="17"/>
          <w:color w:val="auto"/>
        </w:rPr>
        <w:t>Projects such as the Alvin W. Vogtle Units 3 and 4 (U.S.), Olkiluoto 3 (Finland), Flamanville (France) and Hinkley Point C (UK) typify these challenges. Vogtle Units 3 and 4 were completed seven years behind schedule with a cost overrun of $17 billion. The National Association of Regulatory Utility Commissioners (“NARUC”), the association of state public utility commissioners, has expressed apprehension toward approving similar large-scale nuclear projects in the future.</w:t>
      </w:r>
    </w:p>
    <w:p>
      <w:pPr>
        <w:spacing w:after="0" w:line="168" w:lineRule="exact"/>
        <w:rPr>
          <w:sz w:val="20"/>
          <w:szCs w:val="20"/>
          <w:color w:val="auto"/>
        </w:rPr>
      </w:pPr>
    </w:p>
    <w:p>
      <w:pPr>
        <w:ind w:left="40" w:right="79" w:firstLine="627"/>
        <w:spacing w:after="0" w:line="262" w:lineRule="auto"/>
        <w:rPr>
          <w:sz w:val="20"/>
          <w:szCs w:val="20"/>
          <w:color w:val="auto"/>
        </w:rPr>
      </w:pPr>
      <w:r>
        <w:rPr>
          <w:rFonts w:ascii="Times New Roman" w:cs="Times New Roman" w:eastAsia="Times New Roman" w:hAnsi="Times New Roman"/>
          <w:sz w:val="17"/>
          <w:szCs w:val="17"/>
          <w:color w:val="auto"/>
        </w:rPr>
        <w:t>The fundamental economic limitations of legacy nuclear technology are linked to its operational characteristics. Using water as the reactor coolant, legacy nuclear technology is limited to low-temperature reactor and high-pressure operation. This results in the engineering expense of designing high pressure cooling systems to nuclear safety standards, and the consequences of low-temperature heat and steam supply (&lt;300°C), which are low turbine efficiency for electricity generation and high levelized cost. In addition, at these low temperatures, legacy nuclear technologies are generally unsuitable for many industrial heat processes, such as chemical synthesis and petrochemical refining, which generally require high-temperature (&gt;400 °C) thermal energy supply.</w:t>
      </w:r>
    </w:p>
    <w:p>
      <w:pPr>
        <w:spacing w:after="0" w:line="177" w:lineRule="exact"/>
        <w:rPr>
          <w:sz w:val="20"/>
          <w:szCs w:val="20"/>
          <w:color w:val="auto"/>
        </w:rPr>
      </w:pPr>
    </w:p>
    <w:p>
      <w:pPr>
        <w:ind w:left="40" w:right="199" w:firstLine="627"/>
        <w:spacing w:after="0" w:line="264" w:lineRule="auto"/>
        <w:rPr>
          <w:sz w:val="20"/>
          <w:szCs w:val="20"/>
          <w:color w:val="auto"/>
        </w:rPr>
      </w:pPr>
      <w:r>
        <w:rPr>
          <w:rFonts w:ascii="Times New Roman" w:cs="Times New Roman" w:eastAsia="Times New Roman" w:hAnsi="Times New Roman"/>
          <w:sz w:val="17"/>
          <w:szCs w:val="17"/>
          <w:color w:val="auto"/>
        </w:rPr>
        <w:t>With these limitations, we believe legacy nuclear technology is not practical for thermal energy supply for industrial applications and its use is limited to electric power generation. Furthermore, the need to strive against low efficiency for acceptable commercial performance has resulted in the repeated application of economies of plant unit-scale as plant designs have evolved, leading to ever larger plant designs. With increasing size, plants using legacy nuclear technology have trended toward centralized deployments, which are generally unsuitably sized for distributed energy generation and private project financing models. We believe the IMSR Plant design incorporates technology and design features to address these limitations.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Industrial thermal energy supply</w:t>
      </w:r>
    </w:p>
    <w:p>
      <w:pPr>
        <w:spacing w:after="0" w:line="224" w:lineRule="exact"/>
        <w:rPr>
          <w:sz w:val="20"/>
          <w:szCs w:val="20"/>
          <w:color w:val="auto"/>
        </w:rPr>
      </w:pPr>
    </w:p>
    <w:p>
      <w:pPr>
        <w:ind w:left="40" w:right="199" w:firstLine="627"/>
        <w:spacing w:after="0" w:line="238" w:lineRule="auto"/>
        <w:rPr>
          <w:sz w:val="20"/>
          <w:szCs w:val="20"/>
          <w:color w:val="auto"/>
        </w:rPr>
      </w:pPr>
      <w:r>
        <w:rPr>
          <w:rFonts w:ascii="Times New Roman" w:cs="Times New Roman" w:eastAsia="Times New Roman" w:hAnsi="Times New Roman"/>
          <w:sz w:val="17"/>
          <w:szCs w:val="17"/>
          <w:color w:val="auto"/>
        </w:rPr>
        <w:t>The industrial sector has proven to be an obstacle to achieve decarbonization targets. Due to a lack of practicable alternatives to fossil fuel combustion for thermal energy supply, the sector remains one of the most carbon-intensive segments of the global economy, accounting for more than 30% of final energy demand according to the International Energy Agency, and 20%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7"/>
          <w:szCs w:val="17"/>
          <w:color w:val="auto"/>
        </w:rPr>
        <w:t xml:space="preserve"> emissions according to analysis by McKinsey &amp; Company.</w:t>
      </w:r>
    </w:p>
    <w:p>
      <w:pPr>
        <w:spacing w:after="0" w:line="179" w:lineRule="exact"/>
        <w:rPr>
          <w:sz w:val="20"/>
          <w:szCs w:val="20"/>
          <w:color w:val="auto"/>
        </w:rPr>
      </w:pPr>
    </w:p>
    <w:p>
      <w:pPr>
        <w:ind w:left="40" w:right="199" w:firstLine="627"/>
        <w:spacing w:after="0" w:line="266" w:lineRule="auto"/>
        <w:rPr>
          <w:sz w:val="20"/>
          <w:szCs w:val="20"/>
          <w:color w:val="auto"/>
        </w:rPr>
      </w:pPr>
      <w:r>
        <w:rPr>
          <w:rFonts w:ascii="Times New Roman" w:cs="Times New Roman" w:eastAsia="Times New Roman" w:hAnsi="Times New Roman"/>
          <w:sz w:val="17"/>
          <w:szCs w:val="17"/>
          <w:color w:val="auto"/>
        </w:rPr>
        <w:t>Industrial thermal energy supply remains dependent on natural gas and heating oil, unlike electric energy supply, which has already been partially decarbonized with hydroelectric plants, plants employing legacy nuclear technology, and renewable (wind and solar) power plants. The U.S. Department of Energy (“DOE”) and International Energy Agency (“IEA”) both cite industrial process heat as the most difficult segment to decarbonize, due to its high temperature requirements, 24/7 demand, and sensitivity to energy cost.</w:t>
      </w:r>
    </w:p>
    <w:p>
      <w:pPr>
        <w:spacing w:after="0" w:line="170" w:lineRule="exact"/>
        <w:rPr>
          <w:sz w:val="20"/>
          <w:szCs w:val="20"/>
          <w:color w:val="auto"/>
        </w:rPr>
      </w:pPr>
    </w:p>
    <w:p>
      <w:pPr>
        <w:ind w:left="40" w:right="239" w:firstLine="627"/>
        <w:spacing w:after="0" w:line="269" w:lineRule="auto"/>
        <w:rPr>
          <w:sz w:val="20"/>
          <w:szCs w:val="20"/>
          <w:color w:val="auto"/>
        </w:rPr>
      </w:pPr>
      <w:r>
        <w:rPr>
          <w:rFonts w:ascii="Times New Roman" w:cs="Times New Roman" w:eastAsia="Times New Roman" w:hAnsi="Times New Roman"/>
          <w:sz w:val="17"/>
          <w:szCs w:val="17"/>
          <w:color w:val="auto"/>
        </w:rPr>
        <w:t>The IMSR Plant is designed to supply industrial-grade heat at 585 °C — sufficient for more than two-thirds of industrial thermal applications. The IMSR Plant’s ability to provide reliable, high-temperature thermal energy without greenhouse gas emissions allows it to replace fossil combustion systems at many industrial facilities, such as those associated with chemical and petrochemical production.</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Electricity supply</w:t>
      </w:r>
    </w:p>
    <w:p>
      <w:pPr>
        <w:spacing w:after="0" w:line="224" w:lineRule="exact"/>
        <w:rPr>
          <w:sz w:val="20"/>
          <w:szCs w:val="20"/>
          <w:color w:val="auto"/>
        </w:rPr>
      </w:pPr>
    </w:p>
    <w:p>
      <w:pPr>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Power plants with the ability to “dispatch” supply — meaning supply that can be quickly varied to meet fluctuations in demand — are highly valued by grid operators mandated to deliver reliable grid supply for all consumers irrespective of the time of day or local weather conditions. While supply from renewable (wind and solar) plants can provide low-cost electricity, it is generally not dispatchable, which may create challenges for grid reliability in the absence of complementary dispatchable supply. Today, dispatchable supply is largely provided by fossil fuels, which are vulnerable to fuel price volatility and contribute significantly to greenhouse gas emissions.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79" w:firstLine="627"/>
        <w:spacing w:after="0" w:line="264" w:lineRule="auto"/>
        <w:rPr>
          <w:sz w:val="20"/>
          <w:szCs w:val="20"/>
          <w:color w:val="auto"/>
        </w:rPr>
      </w:pPr>
      <w:r>
        <w:rPr>
          <w:rFonts w:ascii="Times New Roman" w:cs="Times New Roman" w:eastAsia="Times New Roman" w:hAnsi="Times New Roman"/>
          <w:sz w:val="17"/>
          <w:szCs w:val="17"/>
          <w:color w:val="auto"/>
        </w:rPr>
        <w:t>Our IMSR Plant is designed to provide grid operators with new dispatchable electricity supply without the environmental impacts of fossil fuel generators. We believe that the IMSR Plant’s 390 MW (net) designed electrical output is also capable of meeting utility-scale needs for dispatchable zero-carbon electric energy supply, and its small land footprint allows for flexible siting and distributed generation, which has the potential to mitigate electric grid congestion. As described in more detail below, we believe the IMSR Plant would also pair well with many of the hundreds of sites in North America which previously hosted coal generation plants.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Competitive levelized cost of thermal and electricity</w:t>
      </w:r>
    </w:p>
    <w:p>
      <w:pPr>
        <w:spacing w:after="0" w:line="224" w:lineRule="exact"/>
        <w:rPr>
          <w:sz w:val="20"/>
          <w:szCs w:val="20"/>
          <w:color w:val="auto"/>
        </w:rPr>
      </w:pPr>
    </w:p>
    <w:p>
      <w:pPr>
        <w:jc w:val="both"/>
        <w:ind w:left="40" w:right="179" w:firstLine="627"/>
        <w:spacing w:after="0" w:line="266" w:lineRule="auto"/>
        <w:rPr>
          <w:sz w:val="20"/>
          <w:szCs w:val="20"/>
          <w:color w:val="auto"/>
        </w:rPr>
      </w:pPr>
      <w:r>
        <w:rPr>
          <w:rFonts w:ascii="Times New Roman" w:cs="Times New Roman" w:eastAsia="Times New Roman" w:hAnsi="Times New Roman"/>
          <w:sz w:val="17"/>
          <w:szCs w:val="17"/>
          <w:color w:val="auto"/>
        </w:rPr>
        <w:t>We estimate, based on internal cost modeling and market data, that the IMSR Plant may achieve a Levelized Cost of Electricity (“LCOE”) of approximately $69/MWh and a Levelized Cost of Heat (“LCOH”) of approximately $8.60/MMBtu. We believe these estimates may position the IMSR Plant favorably in competitive markets relative to competing dispatchable energy supply alternatives, including solar plants and battery storage, combined-cycle and simple-cycle natural gas plants, and some plants using legacy nuclear technology.</w:t>
      </w:r>
    </w:p>
    <w:p>
      <w:pPr>
        <w:spacing w:after="0" w:line="170" w:lineRule="exact"/>
        <w:rPr>
          <w:sz w:val="20"/>
          <w:szCs w:val="20"/>
          <w:color w:val="auto"/>
        </w:rPr>
      </w:pPr>
    </w:p>
    <w:p>
      <w:pPr>
        <w:ind w:left="40" w:right="79" w:firstLine="627"/>
        <w:spacing w:after="0" w:line="261" w:lineRule="auto"/>
        <w:rPr>
          <w:sz w:val="20"/>
          <w:szCs w:val="20"/>
          <w:color w:val="auto"/>
        </w:rPr>
      </w:pPr>
      <w:r>
        <w:rPr>
          <w:rFonts w:ascii="Times New Roman" w:cs="Times New Roman" w:eastAsia="Times New Roman" w:hAnsi="Times New Roman"/>
          <w:sz w:val="17"/>
          <w:szCs w:val="17"/>
          <w:color w:val="auto"/>
        </w:rPr>
        <w:t>The assumptions for the estimated LCOE of $69/MWh and LCOH of $8.60/MMBtu draw from the “Nth” Commercial Plant” (“NCP”) basis where both upfront capital expenditures and operating &amp; maintenance costs are reduced from the “First Commercial Plant” (“FCP”) as a result of learning curve effects on costs from prior experience. The Company’s cost estimates for its FCP are in part derived from capital cost estimates obtained by the Company from third-party nuclear plant cost engineers during a procurement engagement and in collaboration with a nuclear utility during 2020 and 2021. In 2025, Terrestrial Energy revised these estimates to reflect the estimated impact of inflation on the materials and services costs estimated in 2021. The target date of the deployment of the NCP cannot be estimated based on the early stage of our commercial pipeline. The LCOE and LCOH estimates are based on an IMSR Plant consisting of two operating IMSRs for a plant capacity of 390 MWe or 822MWt net output.</w:t>
      </w:r>
    </w:p>
    <w:p>
      <w:pPr>
        <w:spacing w:after="0" w:line="175" w:lineRule="exact"/>
        <w:rPr>
          <w:sz w:val="20"/>
          <w:szCs w:val="20"/>
          <w:color w:val="auto"/>
        </w:rPr>
      </w:pPr>
    </w:p>
    <w:p>
      <w:pPr>
        <w:ind w:left="40" w:right="119" w:firstLine="627"/>
        <w:spacing w:after="0" w:line="260" w:lineRule="auto"/>
        <w:rPr>
          <w:sz w:val="20"/>
          <w:szCs w:val="20"/>
          <w:color w:val="auto"/>
        </w:rPr>
      </w:pPr>
      <w:r>
        <w:rPr>
          <w:rFonts w:ascii="Times New Roman" w:cs="Times New Roman" w:eastAsia="Times New Roman" w:hAnsi="Times New Roman"/>
          <w:sz w:val="17"/>
          <w:szCs w:val="17"/>
          <w:color w:val="auto"/>
        </w:rPr>
        <w:t>The calculations of LCOE and LCOH are principally derived from: the total amount of electricity (MWh) or heat (MMBtu) generated and operating &amp; maintenance costs over the 56-year operating life of the plant; total plant upfront capital expenditures; and cost of capital. The LCOE and LCOH is defined by the cost that achieves a project zero net-present-value. We have assumed a 7.5% and 7.0% for the project developer’s cost of capital over the project’s construction and operation periods, respectively. We have assumed a 4-year construction time and a 95% plant capacity factor. We have not assumed any federal or state subsidies, although we believe that a number may be available. Our LCOE and LCOH estimates are most sensitive to the IMSR Plant’s upfront capital expenditures, and the project developer’s cost of capital assumptions as our IMSR Plant is a long duration asset. Our LCOE and LOCH calculations were prepared in good faith by our management team and are based on our management’s reasonable estimates and assumptions with respect to the expected performance of Terrestrial Energy, as applicable, at the time those estimates were prepared and speak only as of that time. We are not aware of subsequent developments that would materially impact our views regarding these estimates as of the date of this filing.</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Key market verticals for deployment</w:t>
      </w:r>
    </w:p>
    <w:p>
      <w:pPr>
        <w:spacing w:after="0" w:line="224" w:lineRule="exact"/>
        <w:rPr>
          <w:sz w:val="20"/>
          <w:szCs w:val="20"/>
          <w:color w:val="auto"/>
        </w:rPr>
      </w:pPr>
    </w:p>
    <w:p>
      <w:pPr>
        <w:jc w:val="both"/>
        <w:ind w:left="40" w:right="299" w:firstLine="627"/>
        <w:spacing w:after="0" w:line="269" w:lineRule="auto"/>
        <w:rPr>
          <w:sz w:val="20"/>
          <w:szCs w:val="20"/>
          <w:color w:val="auto"/>
        </w:rPr>
      </w:pPr>
      <w:r>
        <w:rPr>
          <w:rFonts w:ascii="Times New Roman" w:cs="Times New Roman" w:eastAsia="Times New Roman" w:hAnsi="Times New Roman"/>
          <w:sz w:val="17"/>
          <w:szCs w:val="17"/>
          <w:color w:val="auto"/>
        </w:rPr>
        <w:t>We are focused on deploying the IMSR Plant in three industrial verticals: data center electricity supply, thermal and electric energy supply for the industrial sector, and in the coal sector as a technology to convert (“repower”) coal plants. We believe that the IMSR Plant’s operational capabilities are most competitive in these three large market verticals beyond grid deployment.</w:t>
      </w:r>
    </w:p>
    <w:p>
      <w:pPr>
        <w:spacing w:after="0" w:line="166" w:lineRule="exact"/>
        <w:rPr>
          <w:sz w:val="20"/>
          <w:szCs w:val="20"/>
          <w:color w:val="auto"/>
        </w:rPr>
      </w:pPr>
    </w:p>
    <w:p>
      <w:pPr>
        <w:ind w:left="40" w:right="99" w:firstLine="634"/>
        <w:spacing w:after="0" w:line="266" w:lineRule="auto"/>
        <w:tabs>
          <w:tab w:leader="none" w:pos="10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Data center supply. </w:t>
      </w:r>
      <w:r>
        <w:rPr>
          <w:rFonts w:ascii="Times New Roman" w:cs="Times New Roman" w:eastAsia="Times New Roman" w:hAnsi="Times New Roman"/>
          <w:sz w:val="17"/>
          <w:szCs w:val="17"/>
          <w:color w:val="auto"/>
        </w:rPr>
        <w:t>The rapid growth of artificial intelligence, cloud computing, and digital infrastructure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led to equally rapidly growing energy demands for around-the-clock, reliable, scalable electricity. The IMSR Plant is designed to provide cost-competitive, firm dispatchable power with zero carbon emissions, which we believe may be a viable alternative in this market sector to power plants using fossil fuel thermal generation, intermittent renewable technology (wind and solar) and other nuclear technologies.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79" w:firstLine="634"/>
        <w:spacing w:after="0" w:line="264" w:lineRule="auto"/>
        <w:tabs>
          <w:tab w:leader="none" w:pos="107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Industrial. </w:t>
      </w:r>
      <w:r>
        <w:rPr>
          <w:rFonts w:ascii="Times New Roman" w:cs="Times New Roman" w:eastAsia="Times New Roman" w:hAnsi="Times New Roman"/>
          <w:sz w:val="17"/>
          <w:szCs w:val="17"/>
          <w:color w:val="auto"/>
        </w:rPr>
        <w:t>Our IMSR Plant addresses a major and unsolved decarbonization challenge: the provision of clean,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firm, high-temperature thermal energy for industrial processes. Many of these — such as chemical synthesis, petrochemical refining, materials manufacturing, and efficient hydrogen production — require sustained thermal energy at temperatures above the capabilities of legacy nuclear technology. The IMSR Plant is designed or expected to deliver heat at temperatures suitable for more than two-thirds of these applications while also offering co-generation of electric energy. Its compact footprint and modular design may support near- and co-located deployment across a range of industrial facilities.</w:t>
      </w:r>
    </w:p>
    <w:p>
      <w:pPr>
        <w:spacing w:after="0" w:line="171" w:lineRule="exact"/>
        <w:rPr>
          <w:rFonts w:ascii="Times New Roman" w:cs="Times New Roman" w:eastAsia="Times New Roman" w:hAnsi="Times New Roman"/>
          <w:sz w:val="17"/>
          <w:szCs w:val="17"/>
          <w:b w:val="1"/>
          <w:bCs w:val="1"/>
          <w:color w:val="auto"/>
        </w:rPr>
      </w:pPr>
    </w:p>
    <w:p>
      <w:pPr>
        <w:ind w:left="40" w:right="259" w:firstLine="634"/>
        <w:spacing w:after="0" w:line="263" w:lineRule="auto"/>
        <w:tabs>
          <w:tab w:leader="none" w:pos="103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Repowering Coal Plants. </w:t>
      </w:r>
      <w:r>
        <w:rPr>
          <w:rFonts w:ascii="Times New Roman" w:cs="Times New Roman" w:eastAsia="Times New Roman" w:hAnsi="Times New Roman"/>
          <w:sz w:val="17"/>
          <w:szCs w:val="17"/>
          <w:color w:val="auto"/>
        </w:rPr>
        <w:t>A potential large and immediate market for our IMSR technology is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replacement of retiring coal-fired power plants. According to a 2022 U.S. Department of Energy report, more than 80% of U.S. coal plant sites are suitable for conversion to advanced nuclear based on factors such as infrastructure, transmission access, and regulatory feasibility. These sites represent a 198.5 GWe installed base, much of which is slated for retirement by 2035. The IMSR Plant is well matched to these projects due to its compatible output temperature and suitable size, and potential reuse of existing balance-of-plant assets such as generators, cooling systems, switchyards, labor force and grid interconnections. This may reduce project costs and shorten construction timelines.</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Our Business Model</w:t>
      </w:r>
    </w:p>
    <w:p>
      <w:pPr>
        <w:spacing w:after="0" w:line="224" w:lineRule="exact"/>
        <w:rPr>
          <w:sz w:val="20"/>
          <w:szCs w:val="20"/>
          <w:color w:val="auto"/>
        </w:rPr>
      </w:pPr>
    </w:p>
    <w:p>
      <w:pPr>
        <w:ind w:left="40" w:right="179" w:firstLine="627"/>
        <w:spacing w:after="0" w:line="264" w:lineRule="auto"/>
        <w:rPr>
          <w:sz w:val="20"/>
          <w:szCs w:val="20"/>
          <w:color w:val="auto"/>
        </w:rPr>
      </w:pPr>
      <w:r>
        <w:rPr>
          <w:rFonts w:ascii="Times New Roman" w:cs="Times New Roman" w:eastAsia="Times New Roman" w:hAnsi="Times New Roman"/>
          <w:sz w:val="17"/>
          <w:szCs w:val="17"/>
          <w:color w:val="auto"/>
        </w:rPr>
        <w:t>Our business model is intended to support long-term, recurring, and capital-efficient revenue streams through all phases of deployment and operation of our IMSR Plant. Our customers will be the owner-operators of the IMSR Plants to which we provide pre-construction and construction engineering services and supply of fuel and major components. We intentionally avoid a build-own-operate (BOO) model for nuclear plants, preferring to leverage the existing scale and capabilities in our nuclear supply chain to support faster deployment of IMSR Plants. Our revenue strategy spans the 60+ year IMSR Plant project lifecycle (its 56-year operating life plus plant pre-construction and construction periods).</w:t>
      </w:r>
    </w:p>
    <w:p>
      <w:pPr>
        <w:spacing w:after="0" w:line="172" w:lineRule="exact"/>
        <w:rPr>
          <w:sz w:val="20"/>
          <w:szCs w:val="20"/>
          <w:color w:val="auto"/>
        </w:rPr>
      </w:pPr>
    </w:p>
    <w:p>
      <w:pPr>
        <w:ind w:left="40" w:right="79" w:firstLine="627"/>
        <w:spacing w:after="0" w:line="261" w:lineRule="auto"/>
        <w:rPr>
          <w:sz w:val="20"/>
          <w:szCs w:val="20"/>
          <w:color w:val="auto"/>
        </w:rPr>
      </w:pPr>
      <w:r>
        <w:rPr>
          <w:rFonts w:ascii="Times New Roman" w:cs="Times New Roman" w:eastAsia="Times New Roman" w:hAnsi="Times New Roman"/>
          <w:sz w:val="17"/>
          <w:szCs w:val="17"/>
          <w:color w:val="auto"/>
        </w:rPr>
        <w:t>This full-lifecycle, low capital expenditure business model is purposefully designed to maximize returns while reducing capital intensity and exposure to construction and operational risks. We are strategically positioned as a nuclear plant designer, major components (most importantly, the reactor itself — the IMSR Core-unit) and nuclear fuel supplier (the IMSR Fuel Salt), rather than a plant owner or operator, thereby reducing exposure to construction risk, accelerating the path to scalability, and establishing a repeatable project development template that may support recurring revenues across a growing base of IMSR Plants in construction and operation. This approach broadly resembles established business models in the nuclear sector, where nuclear plant design providers supply key components including IMSR Fuel Salt and long-term support services without owning or operating end-user infrastructure.</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Project economics</w:t>
      </w:r>
    </w:p>
    <w:p>
      <w:pPr>
        <w:spacing w:after="0" w:line="224" w:lineRule="exact"/>
        <w:rPr>
          <w:sz w:val="20"/>
          <w:szCs w:val="20"/>
          <w:color w:val="auto"/>
        </w:rPr>
      </w:pPr>
    </w:p>
    <w:p>
      <w:pPr>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The expected cost for our NCP, inclusive of all construction, commissioning, and licensing activities is based on detailed cost engineering work firstly conducted by a third-party engineering firm with a prospective owner-operator customer in 2020 – 2021, and leverages the management team’s combined industrial and nuclear engineering experience. The capital cost range reflects a modeled NCP scenario, incorporating anticipated cost reductions from supply chain maturation and learning curve effects. Early-stage plants are expected to have higher costs, while later units benefit from standardization, volume procurement, project management efficiencies, and reduced construction time and risk leading to lower financing costs. For further information regarding assumptions and other considerations in connection with these estimates, see “— Lifecycle Unit Economics” below.</w:t>
      </w:r>
    </w:p>
    <w:p>
      <w:pPr>
        <w:spacing w:after="0" w:line="386" w:lineRule="exact"/>
        <w:rPr>
          <w:sz w:val="20"/>
          <w:szCs w:val="20"/>
          <w:color w:val="auto"/>
        </w:rPr>
      </w:pPr>
    </w:p>
    <w:p>
      <w:pPr>
        <w:ind w:left="40" w:right="159" w:firstLine="627"/>
        <w:spacing w:after="0" w:line="263" w:lineRule="auto"/>
        <w:rPr>
          <w:sz w:val="20"/>
          <w:szCs w:val="20"/>
          <w:color w:val="auto"/>
        </w:rPr>
      </w:pPr>
      <w:r>
        <w:rPr>
          <w:rFonts w:ascii="Times New Roman" w:cs="Times New Roman" w:eastAsia="Times New Roman" w:hAnsi="Times New Roman"/>
          <w:sz w:val="17"/>
          <w:szCs w:val="17"/>
          <w:color w:val="auto"/>
        </w:rPr>
        <w:t>We anticipate that capital expenditures to construct an IMSR Plant will be borne by the project’s consortium partners, primarily by its operator, offtake customers, suppliers as well as third-party project investors, which may include the public sector. At the project level, we expect to be supplying the IMSR Plant design, key components (such as the IMSR Core-</w:t>
      </w:r>
    </w:p>
    <w:p>
      <w:pPr>
        <w:spacing w:after="0" w:line="2" w:lineRule="exact"/>
        <w:rPr>
          <w:sz w:val="20"/>
          <w:szCs w:val="20"/>
          <w:color w:val="auto"/>
        </w:rPr>
      </w:pPr>
    </w:p>
    <w:p>
      <w:pPr>
        <w:ind w:left="40" w:right="499"/>
        <w:spacing w:after="0" w:line="272" w:lineRule="auto"/>
        <w:rPr>
          <w:sz w:val="20"/>
          <w:szCs w:val="20"/>
          <w:color w:val="auto"/>
        </w:rPr>
      </w:pPr>
      <w:r>
        <w:rPr>
          <w:rFonts w:ascii="Times New Roman" w:cs="Times New Roman" w:eastAsia="Times New Roman" w:hAnsi="Times New Roman"/>
          <w:sz w:val="17"/>
          <w:szCs w:val="17"/>
          <w:color w:val="auto"/>
        </w:rPr>
        <w:t>unit and associated systems), the IMSR Fuel Salt, and services, many under long-term contract arrangements as described below.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Revenue streams</w:t>
      </w:r>
    </w:p>
    <w:p>
      <w:pPr>
        <w:spacing w:after="0" w:line="224" w:lineRule="exact"/>
        <w:rPr>
          <w:sz w:val="20"/>
          <w:szCs w:val="20"/>
          <w:color w:val="auto"/>
        </w:rPr>
      </w:pPr>
    </w:p>
    <w:p>
      <w:pPr>
        <w:ind w:left="40" w:right="319" w:firstLine="627"/>
        <w:spacing w:after="0" w:line="260" w:lineRule="auto"/>
        <w:rPr>
          <w:sz w:val="20"/>
          <w:szCs w:val="20"/>
          <w:color w:val="auto"/>
        </w:rPr>
      </w:pPr>
      <w:r>
        <w:rPr>
          <w:rFonts w:ascii="Times New Roman" w:cs="Times New Roman" w:eastAsia="Times New Roman" w:hAnsi="Times New Roman"/>
          <w:sz w:val="17"/>
          <w:szCs w:val="17"/>
          <w:color w:val="auto"/>
        </w:rPr>
        <w:t>We expect our revenues to derive from the Company’s project delivery model, which consists of four principal revenue streams (see Figure 1). Each is anticipated to leverage Terrestrial Energy’s proprietary nuclear plant design and technology, its licensing expertise, its developed supply chain, and the project delivery models’ repeatability across multiple IMSR Plant projects operating simultaneously. The IMSR Core-unit and IMSR Fuel Salt supply revenues are structured to recur throughout the 56-year operating lifecycle of an IMSR Plant (see Figure 2). Each subsequent IMSR Core-</w:t>
      </w:r>
    </w:p>
    <w:p>
      <w:pPr>
        <w:spacing w:after="0" w:line="4" w:lineRule="exact"/>
        <w:rPr>
          <w:sz w:val="20"/>
          <w:szCs w:val="20"/>
          <w:color w:val="auto"/>
        </w:rPr>
      </w:pPr>
    </w:p>
    <w:p>
      <w:pPr>
        <w:ind w:left="40" w:right="359"/>
        <w:spacing w:after="0" w:line="264" w:lineRule="auto"/>
        <w:rPr>
          <w:sz w:val="20"/>
          <w:szCs w:val="20"/>
          <w:color w:val="auto"/>
        </w:rPr>
      </w:pPr>
      <w:r>
        <w:rPr>
          <w:rFonts w:ascii="Times New Roman" w:cs="Times New Roman" w:eastAsia="Times New Roman" w:hAnsi="Times New Roman"/>
          <w:sz w:val="17"/>
          <w:szCs w:val="17"/>
          <w:color w:val="auto"/>
        </w:rPr>
        <w:t>unit replacement cycle provides an additional revenue opportunity at attractive margins. The selection of these four revenue streams is intended to optimize recurring revenue potential, reduce capital intensity for Terrestrial Energy, and support a scalable fleet-based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121285</wp:posOffset>
            </wp:positionV>
            <wp:extent cx="5363210" cy="4443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3210" cy="444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Figure 1: Illustrative potential revenue streams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19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Pre-construction services. </w:t>
      </w:r>
      <w:r>
        <w:rPr>
          <w:rFonts w:ascii="Times New Roman" w:cs="Times New Roman" w:eastAsia="Times New Roman" w:hAnsi="Times New Roman"/>
          <w:sz w:val="17"/>
          <w:szCs w:val="17"/>
          <w:color w:val="auto"/>
        </w:rPr>
        <w:t>We anticipate generating early-stage revenue through the supply of site- and use-specific engineering services to IMSR Plant projects to support project development, construction and procurement planning, and the preparation of USNRC construction permits. These services are typically offered on a fixed-fee or time-and-materials basis. While comprising a modest portion of total IMSR Plant life-time revenues (~4%), they create early cash flow, initiate project development activities, establish relationships with IMSR Plant developers, and the supply chain. We have conducted several engagements related to pre-construction services that have generated initial revenue.</w:t>
      </w:r>
    </w:p>
    <w:p>
      <w:pPr>
        <w:spacing w:after="0" w:line="172" w:lineRule="exact"/>
        <w:rPr>
          <w:sz w:val="20"/>
          <w:szCs w:val="20"/>
          <w:color w:val="auto"/>
        </w:rPr>
      </w:pPr>
    </w:p>
    <w:p>
      <w:pPr>
        <w:ind w:left="40" w:right="79"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Construction services, IMSR Core-unit and component supply. </w:t>
      </w:r>
      <w:r>
        <w:rPr>
          <w:rFonts w:ascii="Times New Roman" w:cs="Times New Roman" w:eastAsia="Times New Roman" w:hAnsi="Times New Roman"/>
          <w:sz w:val="17"/>
          <w:szCs w:val="17"/>
          <w:color w:val="auto"/>
        </w:rPr>
        <w:t>We anticipate generating further revenue 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supply of engineering services, major components (including supply of first IMSR Core-units), IMSR Fuel Salt to IMSR Plant projects supporting construction, USNRC operation license submissions, and commissioning. This revenue stream is expected to represent approximately 23% of IMSR Plant project lifecycle value, supported by a developed supply chain and nuclear-qualified manufacturing partners, enabling scalable deployment and cost control.</w:t>
      </w:r>
    </w:p>
    <w:p>
      <w:pPr>
        <w:spacing w:after="0" w:line="170" w:lineRule="exact"/>
        <w:rPr>
          <w:sz w:val="20"/>
          <w:szCs w:val="20"/>
          <w:color w:val="auto"/>
        </w:rPr>
      </w:pPr>
    </w:p>
    <w:p>
      <w:pPr>
        <w:ind w:left="40" w:right="119" w:firstLine="627"/>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Post-construction IMSR Core-unit supply. </w:t>
      </w:r>
      <w:r>
        <w:rPr>
          <w:rFonts w:ascii="Times New Roman" w:cs="Times New Roman" w:eastAsia="Times New Roman" w:hAnsi="Times New Roman"/>
          <w:sz w:val="17"/>
          <w:szCs w:val="17"/>
          <w:color w:val="auto"/>
        </w:rPr>
        <w:t>We anticipate generating further revenue from the supply of IMSR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Core-units to operational IMSR Plants over the expected 56-year operating life and ancillary operations and maintenance (“O&amp;M”) services. We expect this to be a significant and recurring revenue stream, which occurs on a predictable seven-year cycle over a plant’s anticipated 56-year operating lifespan. Each IMSR Core-unit is replaced periodically with a “plug-and-play” maintenance procedure, which we believe achieves that necessary simplicity of maintenance to achieve a high plant uptime contributing to its capital efficiency. This model represents over 55% of IMSR Plant project lifecycle revenues and may support recurring major component supply revenue and gross margin contribution over time, subject to market adoption and plant deployment. To illustrate, over a typical 56-year operating life of an IMSR Plant, sixteen IMSR Core-units are required, the initial pair at commissioning plus fourteen replacements. Consequently, our revenue model is expected to provide recurring major component supply revenues per plant over many decades, subject to market demand and customer deployment.</w:t>
      </w:r>
    </w:p>
    <w:p>
      <w:pPr>
        <w:spacing w:after="0" w:line="180" w:lineRule="exact"/>
        <w:rPr>
          <w:sz w:val="20"/>
          <w:szCs w:val="20"/>
          <w:color w:val="auto"/>
        </w:rPr>
      </w:pPr>
    </w:p>
    <w:p>
      <w:pPr>
        <w:ind w:left="40" w:right="7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Post-construction IMSR fuel supply. </w:t>
      </w:r>
      <w:r>
        <w:rPr>
          <w:rFonts w:ascii="Times New Roman" w:cs="Times New Roman" w:eastAsia="Times New Roman" w:hAnsi="Times New Roman"/>
          <w:sz w:val="17"/>
          <w:szCs w:val="17"/>
          <w:color w:val="auto"/>
        </w:rPr>
        <w:t>We intend to also supply IMSR Fuel Salt to operational IMSR Plants over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plant’s 56-year operating life together with ancillary O&amp;M services. IMSR Fuel Salt must be manufactured to the precise specifications of the IMSR Plant design as approved by the USNRC in the U.S. or the relevant nuclear regulator in non-</w:t>
      </w:r>
    </w:p>
    <w:p>
      <w:pPr>
        <w:spacing w:after="0" w:line="2" w:lineRule="exact"/>
        <w:rPr>
          <w:sz w:val="20"/>
          <w:szCs w:val="20"/>
          <w:color w:val="auto"/>
        </w:rPr>
      </w:pPr>
    </w:p>
    <w:p>
      <w:pPr>
        <w:ind w:left="40" w:right="239"/>
        <w:spacing w:after="0" w:line="272" w:lineRule="auto"/>
        <w:rPr>
          <w:sz w:val="20"/>
          <w:szCs w:val="20"/>
          <w:color w:val="auto"/>
        </w:rPr>
      </w:pPr>
      <w:r>
        <w:rPr>
          <w:rFonts w:ascii="Times New Roman" w:cs="Times New Roman" w:eastAsia="Times New Roman" w:hAnsi="Times New Roman"/>
          <w:sz w:val="17"/>
          <w:szCs w:val="17"/>
          <w:color w:val="auto"/>
        </w:rPr>
        <w:t>U.S. markets. We intend to provide services at the end of IMSR Plant operating life to assist with the decommissioning of the IMSR Plant and its spent IMSR Fuel Salt.</w:t>
      </w:r>
    </w:p>
    <w:p>
      <w:pPr>
        <w:spacing w:after="0" w:line="165" w:lineRule="exact"/>
        <w:rPr>
          <w:sz w:val="20"/>
          <w:szCs w:val="20"/>
          <w:color w:val="auto"/>
        </w:rPr>
      </w:pPr>
    </w:p>
    <w:p>
      <w:pPr>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The structure of the IMSR Plant project lifecycle, with a multi-decade operational design life, periodic core replacements, ongoing O&amp;M contracts, and fuel supply, enables long-term revenue visibility that may provide a strong foundation for recurring, predictable, and durable cash flows, subject to successful commercialization. With each IMSR Plant requiring post-construction operations and maintenance support for 56 years, replacement of IMSR Core-units and IMSR Fuel Salt supply will generate revenue at regular intervals, such that we expect our business model to deliver recurring revenues with defensible gross margins that scale linearly with the installed base of operating IMSR Plants.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Lifecycle unit economics</w:t>
      </w:r>
    </w:p>
    <w:p>
      <w:pPr>
        <w:spacing w:after="0" w:line="224" w:lineRule="exact"/>
        <w:rPr>
          <w:sz w:val="20"/>
          <w:szCs w:val="20"/>
          <w:color w:val="auto"/>
        </w:rPr>
      </w:pPr>
    </w:p>
    <w:p>
      <w:pPr>
        <w:ind w:left="40" w:right="59" w:firstLine="627"/>
        <w:spacing w:after="0" w:line="259" w:lineRule="auto"/>
        <w:rPr>
          <w:sz w:val="20"/>
          <w:szCs w:val="20"/>
          <w:color w:val="auto"/>
        </w:rPr>
      </w:pPr>
      <w:r>
        <w:rPr>
          <w:rFonts w:ascii="Times New Roman" w:cs="Times New Roman" w:eastAsia="Times New Roman" w:hAnsi="Times New Roman"/>
          <w:sz w:val="17"/>
          <w:szCs w:val="17"/>
          <w:color w:val="auto"/>
        </w:rPr>
        <w:t>Figure 2 below sets for our estimated lifecycle unit economics from the revenue streams described above and are based on a 60+ year IMSR Plant project lifecycle, with recurring revenue from IMSR Core-unit replacements every seven years and ongoing annual IMSR Fuel Salt supply. The model assumes a pre-construction stage and a four-year construction stage, with Terrestrial Energy earning revenue at each stage through engineering, procurement, and component supply services. The underlying project delivery model with its revenue volume and margin assumptions are drawn from the management team’s estimates based on their experience in the nuclear energy industry. Specifically, unit economics are calculated at NCP status, reflecting industrial learning effects over a planned 10-plant deployment cycle, and include updated assumptions for higher uranium and enrichment costs, while excluding decommissioning expenses. See “— Competitive levelized cost of thermal and electricity” above. Our unit economics calculations were prepared in good faith by our management team and are based on our management’s reasonable estimates and assumptions with respect to the expected performance of Terrestrial Energy, as applicable, at the time those estimates were prepared and speak only as of that time. We are not aware of subsequent developments that would materially impact our views regarding these estimates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128270</wp:posOffset>
            </wp:positionV>
            <wp:extent cx="5363210" cy="2089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3210"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Figure 2: IMSR Plant project lifecycle unit economics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IMSR Plant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154305</wp:posOffset>
            </wp:positionV>
            <wp:extent cx="5363210" cy="4111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63210" cy="411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Figure 3: IMSR Plant with its customizable Thermal and Electricity Facility (“B”)</w:t>
      </w:r>
    </w:p>
    <w:p>
      <w:pPr>
        <w:spacing w:after="0" w:line="222" w:lineRule="exact"/>
        <w:rPr>
          <w:sz w:val="20"/>
          <w:szCs w:val="20"/>
          <w:color w:val="auto"/>
        </w:rPr>
      </w:pPr>
    </w:p>
    <w:p>
      <w:pPr>
        <w:ind w:left="40" w:right="79" w:firstLine="627"/>
        <w:spacing w:after="0" w:line="259" w:lineRule="auto"/>
        <w:rPr>
          <w:sz w:val="20"/>
          <w:szCs w:val="20"/>
          <w:color w:val="auto"/>
        </w:rPr>
      </w:pPr>
      <w:r>
        <w:rPr>
          <w:rFonts w:ascii="Times New Roman" w:cs="Times New Roman" w:eastAsia="Times New Roman" w:hAnsi="Times New Roman"/>
          <w:sz w:val="17"/>
          <w:szCs w:val="17"/>
          <w:color w:val="auto"/>
        </w:rPr>
        <w:t>The figure above illustrates that the conceptual customization of Thermal and Electric Facility enabling the integration of other energy systems such as thermal storage to supply a near-located industrial facility (“C”). We believe that the Thermal and Electricity Facility can be hybridized with other energy systems, such as by integration with natural gas thermal energy supply. This is intended to serve as an initial source of thermal energy supply, and later as a backup source of thermal energy supply to the operating IMSR Nuclear Facility. We believe the customization of the IMSR Thermal and Electricity Facility with the integration of natural gas systems will accelerate commercial energy supply and increase the reliability of energy supply from a fully operational IMSR Plant; in our experience early electricity supply and reliably supply are both prized by industrial users and datacenter operators. While there are many methods to customize the IMSR Thermal and Electricity Facility, we are focused on the development of the small and modular regulated nuclear systems that form the Nuclear Facility (“A”) in the figure above, which is not conceptual but rendered from civil structures engineered by Terrestrial Energy and represents a part of IMSR Plant design that CNSC’s VDR reviewed. Our Company has a generic configuration of the Thermal and Electric Facility for 390 MW of electricity supply. We expect that the configuration of the Thermal and Electric Facility will be customized by project level requirements for energy supply.</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139" w:firstLine="627"/>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Plant and infrastructure. </w:t>
      </w:r>
      <w:r>
        <w:rPr>
          <w:rFonts w:ascii="Times New Roman" w:cs="Times New Roman" w:eastAsia="Times New Roman" w:hAnsi="Times New Roman"/>
          <w:sz w:val="17"/>
          <w:szCs w:val="17"/>
          <w:color w:val="auto"/>
        </w:rPr>
        <w:t>Our IMSR Core-unit constitutes the primary nuclear system. It houses the key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components such as graphite moderator, IMSR Fuel Salt, primary pumps and primary heat exchanges. We have agreements for the design and development of these components. Our supply strategy includes working with suppliers on plant infrastructure, such as turbine generators, simulation technology, and product lifecycle management.</w:t>
      </w:r>
    </w:p>
    <w:p>
      <w:pPr>
        <w:spacing w:after="0" w:line="165" w:lineRule="exact"/>
        <w:rPr>
          <w:sz w:val="20"/>
          <w:szCs w:val="20"/>
          <w:color w:val="auto"/>
        </w:rPr>
      </w:pPr>
    </w:p>
    <w:p>
      <w:pPr>
        <w:ind w:left="40" w:right="7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Graphite supply. </w:t>
      </w:r>
      <w:r>
        <w:rPr>
          <w:rFonts w:ascii="Times New Roman" w:cs="Times New Roman" w:eastAsia="Times New Roman" w:hAnsi="Times New Roman"/>
          <w:sz w:val="17"/>
          <w:szCs w:val="17"/>
          <w:color w:val="auto"/>
        </w:rPr>
        <w:t>Our IMSR Core-unit utilizes a thermal spectrum nuclear system with graphite as moderator,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requiring approximately 125 metric tons of graphite per Core-unit. We are evaluating the optimal graphite grade from variations offered by four leading nuclear graphite suppliers. Our rigorous selection process includes testing graphite samples at the High Flux test reactor in Petten, Netherlands owned by the European Union Joint Centre, the European Commission’s science and knowledge service. We are undertaking an ongoing program of graphite irradiation testing at the Petten reactor for nuclear-grade graphite, advised by recognized industry leaders in graphite performance services.</w:t>
      </w:r>
    </w:p>
    <w:p>
      <w:pPr>
        <w:spacing w:after="0" w:line="172" w:lineRule="exact"/>
        <w:rPr>
          <w:sz w:val="20"/>
          <w:szCs w:val="20"/>
          <w:color w:val="auto"/>
        </w:rPr>
      </w:pPr>
    </w:p>
    <w:p>
      <w:pPr>
        <w:ind w:left="40" w:right="11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Engineering services. </w:t>
      </w:r>
      <w:r>
        <w:rPr>
          <w:rFonts w:ascii="Times New Roman" w:cs="Times New Roman" w:eastAsia="Times New Roman" w:hAnsi="Times New Roman"/>
          <w:sz w:val="17"/>
          <w:szCs w:val="17"/>
          <w:color w:val="auto"/>
        </w:rPr>
        <w:t>Our planned supply of services to an IMSR Plant spans its full project lifecycle, providing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anticipated 60+ years of revenue opportunity. We expect that these engineering services will provide: (i) assistance with regulatory applications; (ii) project management and component procurement before and during construction; and</w:t>
      </w:r>
    </w:p>
    <w:p>
      <w:pPr>
        <w:spacing w:after="0" w:line="2" w:lineRule="exact"/>
        <w:rPr>
          <w:sz w:val="20"/>
          <w:szCs w:val="20"/>
          <w:color w:val="auto"/>
        </w:rPr>
      </w:pPr>
    </w:p>
    <w:p>
      <w:pPr>
        <w:ind w:left="40" w:right="359" w:firstLine="8"/>
        <w:spacing w:after="0" w:line="261" w:lineRule="auto"/>
        <w:tabs>
          <w:tab w:leader="none" w:pos="3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and maintenance support during operation, including for IMSR Core-unit replacement management and fuel management. A pivotal development in our IMSR Plant project execution strategy is the timely selection of experienced engineering, procurement and construction firms with demonstrated nuclear power plant detailed design, construction, and large-scale procurement capabilities.</w:t>
      </w:r>
    </w:p>
    <w:p>
      <w:pPr>
        <w:spacing w:after="0" w:line="174" w:lineRule="exact"/>
        <w:rPr>
          <w:sz w:val="20"/>
          <w:szCs w:val="20"/>
          <w:color w:val="auto"/>
        </w:rPr>
      </w:pPr>
    </w:p>
    <w:p>
      <w:pPr>
        <w:ind w:left="40" w:right="159"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Nuclear fuel supply. </w:t>
      </w:r>
      <w:r>
        <w:rPr>
          <w:rFonts w:ascii="Times New Roman" w:cs="Times New Roman" w:eastAsia="Times New Roman" w:hAnsi="Times New Roman"/>
          <w:sz w:val="17"/>
          <w:szCs w:val="17"/>
          <w:color w:val="auto"/>
        </w:rPr>
        <w:t>We are engaged with suppliers including Springfields Fuels Limited, a Westinghouse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to establish production capabilities for key IMSR Fuel Salt elements, including SALEU, with the scale to support a fleet of IMSR Plants operating in the 2030s. To provide supply chain resilience, we have engaged with other fuel vendors for similar services, and with those offering fuel transport packaging and shipping services, unenriched uranium supply, and enrichment services.</w:t>
      </w:r>
    </w:p>
    <w:p>
      <w:pPr>
        <w:spacing w:after="0" w:line="172" w:lineRule="exact"/>
        <w:rPr>
          <w:sz w:val="20"/>
          <w:szCs w:val="20"/>
          <w:color w:val="auto"/>
        </w:rPr>
      </w:pPr>
    </w:p>
    <w:p>
      <w:pPr>
        <w:ind w:left="40" w:right="159" w:firstLine="627"/>
        <w:spacing w:after="0" w:line="261" w:lineRule="auto"/>
        <w:rPr>
          <w:sz w:val="20"/>
          <w:szCs w:val="20"/>
          <w:color w:val="auto"/>
        </w:rPr>
      </w:pPr>
      <w:r>
        <w:rPr>
          <w:rFonts w:ascii="Times New Roman" w:cs="Times New Roman" w:eastAsia="Times New Roman" w:hAnsi="Times New Roman"/>
          <w:sz w:val="17"/>
          <w:szCs w:val="17"/>
          <w:color w:val="auto"/>
        </w:rPr>
        <w:t>A major differentiator of the IMSR Plant among other competing Gen IV technologies, including those using MSR technology, is its use of SALEU as nuclear fuel. This is the enrichment standard of fuel for nuclear plants using legacy nuclear technology and has been in use for many decades. To our knowledge, almost all of the other competitive nuclear technologies in commercialization today — those capable of supplying high-temperature thermal energy — use HALEU. Commercial HALEU production requires the construction and licensing of entirely new enrichment facilities as current facilities cannot be converted to HALEU production. Prior to the Ukraine conflict, many of our competitors anticipated sourcing HALEU from Russian sources, which was the only known source of commercial supply. As a result of changing geopolitical factors, the U.S. government has funded pilot programs in onshore HALEU production, but it is currently available only in small test quantities.</w:t>
      </w:r>
    </w:p>
    <w:p>
      <w:pPr>
        <w:spacing w:after="0" w:line="388" w:lineRule="exact"/>
        <w:rPr>
          <w:sz w:val="20"/>
          <w:szCs w:val="20"/>
          <w:color w:val="auto"/>
        </w:rPr>
      </w:pPr>
    </w:p>
    <w:p>
      <w:pPr>
        <w:ind w:left="40" w:right="99" w:firstLine="627"/>
        <w:spacing w:after="0" w:line="269" w:lineRule="auto"/>
        <w:rPr>
          <w:sz w:val="20"/>
          <w:szCs w:val="20"/>
          <w:color w:val="auto"/>
        </w:rPr>
      </w:pPr>
      <w:r>
        <w:rPr>
          <w:rFonts w:ascii="Times New Roman" w:cs="Times New Roman" w:eastAsia="Times New Roman" w:hAnsi="Times New Roman"/>
          <w:sz w:val="17"/>
          <w:szCs w:val="17"/>
          <w:color w:val="auto"/>
        </w:rPr>
        <w:t>We believe our fuel choice for the IMSR Plant aligns our product with existing fuel suppliers and fuel supply regulatory frameworks for production and transportation, potentially enabling earlier commercialization of our IMSR Plant and reducing the development and supply chain risks associated with restricted fuel types such as HALEU. In our view, the use of SALEU may also help mitigate policy and regulatory uncertainties in key markets.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table below summarizes certain technical attributes and specifications of our IMSR Plant design.</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39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7"/>
                <w:szCs w:val="17"/>
                <w:b w:val="1"/>
                <w:bCs w:val="1"/>
                <w:color w:val="auto"/>
              </w:rPr>
              <w:t>IMSR Plant attribute</w:t>
            </w:r>
          </w:p>
        </w:tc>
        <w:tc>
          <w:tcPr>
            <w:tcW w:w="43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Specification</w:t>
            </w:r>
          </w:p>
        </w:tc>
      </w:tr>
      <w:tr>
        <w:trPr>
          <w:trHeight w:val="176"/>
        </w:trPr>
        <w:tc>
          <w:tcPr>
            <w:tcW w:w="39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r>
      <w:tr>
        <w:trPr>
          <w:trHeight w:val="220"/>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Reactor Type</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Liquid fueled molten salt</w:t>
            </w:r>
          </w:p>
        </w:tc>
      </w:tr>
      <w:tr>
        <w:trPr>
          <w:trHeight w:val="438"/>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Neutron Spectrum</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Thermal</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Reactor Thermal Output, gross</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2x442 MWt</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Power Plant Electrical Output, net</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2x195 MWe</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Moderator</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Graphite</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Thermal Efficiency (net)</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44% for normal electric power configuration</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Reactor Operating Pressure</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Near Atmospheric</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Temperature of thermal supply</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585°C/1,085°F</w:t>
            </w:r>
          </w:p>
        </w:tc>
      </w:tr>
      <w:tr>
        <w:trPr>
          <w:trHeight w:val="452"/>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Fuel and coolant salt eutectic (Fuel Salt)</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Common Fluoride Salts with UF</w:t>
            </w:r>
            <w:r>
              <w:rPr>
                <w:rFonts w:ascii="Times New Roman" w:cs="Times New Roman" w:eastAsia="Times New Roman" w:hAnsi="Times New Roman"/>
                <w:sz w:val="26"/>
                <w:szCs w:val="26"/>
                <w:color w:val="auto"/>
                <w:vertAlign w:val="subscript"/>
              </w:rPr>
              <w:t>4</w:t>
            </w:r>
            <w:r>
              <w:rPr>
                <w:rFonts w:ascii="Times New Roman" w:cs="Times New Roman" w:eastAsia="Times New Roman" w:hAnsi="Times New Roman"/>
                <w:sz w:val="17"/>
                <w:szCs w:val="17"/>
                <w:color w:val="auto"/>
              </w:rPr>
              <w:t xml:space="preserve"> – No</w:t>
            </w:r>
          </w:p>
        </w:tc>
      </w:tr>
      <w:tr>
        <w:trPr>
          <w:trHeight w:val="227"/>
        </w:trPr>
        <w:tc>
          <w:tcPr>
            <w:tcW w:w="394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beryllium or isotopically enriched lithium</w:t>
            </w:r>
          </w:p>
        </w:tc>
      </w:tr>
      <w:tr>
        <w:trPr>
          <w:trHeight w:val="457"/>
        </w:trPr>
        <w:tc>
          <w:tcPr>
            <w:tcW w:w="39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Initial Fuel Enrichment</w:t>
            </w:r>
          </w:p>
        </w:tc>
        <w:tc>
          <w:tcPr>
            <w:tcW w:w="43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Less than 3% SALEU</w:t>
            </w:r>
          </w:p>
        </w:tc>
      </w:tr>
    </w:tbl>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40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7"/>
                <w:szCs w:val="17"/>
                <w:b w:val="1"/>
                <w:bCs w:val="1"/>
                <w:color w:val="auto"/>
              </w:rPr>
              <w:t>IMSR Plant attribute</w:t>
            </w:r>
          </w:p>
        </w:tc>
        <w:tc>
          <w:tcPr>
            <w:tcW w:w="4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7"/>
                <w:szCs w:val="17"/>
                <w:b w:val="1"/>
                <w:bCs w:val="1"/>
                <w:color w:val="auto"/>
              </w:rPr>
              <w:t>Specification</w:t>
            </w:r>
          </w:p>
        </w:tc>
      </w:tr>
      <w:tr>
        <w:trPr>
          <w:trHeight w:val="176"/>
        </w:trPr>
        <w:tc>
          <w:tcPr>
            <w:tcW w:w="406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r>
      <w:tr>
        <w:trPr>
          <w:trHeight w:val="220"/>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Make-up Fuel Enrichment</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Less than 5% SALEU</w:t>
            </w:r>
          </w:p>
        </w:tc>
      </w:tr>
      <w:tr>
        <w:trPr>
          <w:trHeight w:val="438"/>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Reactor Vessel Diameter (Core-unit)</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4.1 m/13 ft.</w:t>
            </w:r>
          </w:p>
        </w:tc>
      </w:tr>
      <w:tr>
        <w:trPr>
          <w:trHeight w:val="457"/>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Reactor Vessel Height (Core-unit)</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18 m/59 ft.</w:t>
            </w:r>
          </w:p>
        </w:tc>
      </w:tr>
      <w:tr>
        <w:trPr>
          <w:trHeight w:val="457"/>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Core-unit Design Life</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Replaced every 7 years</w:t>
            </w:r>
          </w:p>
        </w:tc>
      </w:tr>
      <w:tr>
        <w:trPr>
          <w:trHeight w:val="439"/>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Refueling</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On-power make-up fuel added during reactor</w:t>
            </w:r>
          </w:p>
        </w:tc>
      </w:tr>
      <w:tr>
        <w:trPr>
          <w:trHeight w:val="227"/>
        </w:trPr>
        <w:tc>
          <w:tcPr>
            <w:tcW w:w="4060" w:type="dxa"/>
            <w:vAlign w:val="bottom"/>
          </w:tcPr>
          <w:p>
            <w:pPr>
              <w:spacing w:after="0"/>
              <w:rPr>
                <w:sz w:val="19"/>
                <w:szCs w:val="19"/>
                <w:color w:val="auto"/>
              </w:rPr>
            </w:pPr>
          </w:p>
        </w:tc>
        <w:tc>
          <w:tcPr>
            <w:tcW w:w="4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operation.</w:t>
            </w:r>
          </w:p>
        </w:tc>
      </w:tr>
      <w:tr>
        <w:trPr>
          <w:trHeight w:val="457"/>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Plant Operating Life</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56 years</w:t>
            </w:r>
          </w:p>
        </w:tc>
      </w:tr>
      <w:tr>
        <w:trPr>
          <w:trHeight w:val="439"/>
        </w:trPr>
        <w:tc>
          <w:tcPr>
            <w:tcW w:w="4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IMSR Plant land footprint with the Thermal</w:t>
            </w:r>
          </w:p>
        </w:tc>
        <w:tc>
          <w:tcPr>
            <w:tcW w:w="42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6.4 hectares/16 acres</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and Electricity Facility designed for electricity</w:t>
            </w:r>
          </w:p>
        </w:tc>
        <w:tc>
          <w:tcPr>
            <w:tcW w:w="4200" w:type="dxa"/>
            <w:vAlign w:val="bottom"/>
          </w:tcPr>
          <w:p>
            <w:pPr>
              <w:spacing w:after="0"/>
              <w:rPr>
                <w:sz w:val="18"/>
                <w:szCs w:val="18"/>
                <w:color w:val="auto"/>
              </w:rPr>
            </w:pPr>
          </w:p>
        </w:tc>
      </w:tr>
      <w:tr>
        <w:trPr>
          <w:trHeight w:val="227"/>
        </w:trPr>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generation only</w:t>
            </w:r>
          </w:p>
        </w:tc>
        <w:tc>
          <w:tcPr>
            <w:tcW w:w="4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i w:val="1"/>
          <w:iCs w:val="1"/>
          <w:color w:val="auto"/>
        </w:rPr>
        <w:t>Design, testing, and development status</w:t>
      </w:r>
    </w:p>
    <w:p>
      <w:pPr>
        <w:spacing w:after="0" w:line="226" w:lineRule="exact"/>
        <w:rPr>
          <w:sz w:val="20"/>
          <w:szCs w:val="20"/>
          <w:color w:val="auto"/>
        </w:rPr>
      </w:pPr>
    </w:p>
    <w:p>
      <w:pPr>
        <w:ind w:left="40" w:right="99" w:firstLine="627"/>
        <w:spacing w:after="0" w:line="264" w:lineRule="auto"/>
        <w:rPr>
          <w:sz w:val="20"/>
          <w:szCs w:val="20"/>
          <w:color w:val="auto"/>
        </w:rPr>
      </w:pPr>
      <w:r>
        <w:rPr>
          <w:rFonts w:ascii="Times New Roman" w:cs="Times New Roman" w:eastAsia="Times New Roman" w:hAnsi="Times New Roman"/>
          <w:sz w:val="17"/>
          <w:szCs w:val="17"/>
          <w:color w:val="auto"/>
        </w:rPr>
        <w:t>We have developed an engineering program to advance the timely, safe and efficient evolution of the IMSR Plant within a controlled engineering environment. Our engineering program develops the design requirements and specifications of the Structures, Systems and Components that make up the IMSR plant. It employs advanced software and engineering methods used in the highly regulated aviation industry for document and design control, which we believe express best practice. During the CNSC’s Vendor Design Review (“VDR”) of the IMSR Plant design, the CNSC reviewed our engineering program and concluded that it was aligned to CNSC requirements for controlled development of a nuclear plant design.</w:t>
      </w:r>
    </w:p>
    <w:p>
      <w:pPr>
        <w:spacing w:after="0" w:line="172" w:lineRule="exact"/>
        <w:rPr>
          <w:sz w:val="20"/>
          <w:szCs w:val="20"/>
          <w:color w:val="auto"/>
        </w:rPr>
      </w:pPr>
    </w:p>
    <w:p>
      <w:pPr>
        <w:ind w:left="40" w:right="79" w:firstLine="627"/>
        <w:spacing w:after="0" w:line="262" w:lineRule="auto"/>
        <w:rPr>
          <w:sz w:val="20"/>
          <w:szCs w:val="20"/>
          <w:color w:val="auto"/>
        </w:rPr>
      </w:pPr>
      <w:r>
        <w:rPr>
          <w:rFonts w:ascii="Times New Roman" w:cs="Times New Roman" w:eastAsia="Times New Roman" w:hAnsi="Times New Roman"/>
          <w:sz w:val="17"/>
          <w:szCs w:val="17"/>
          <w:color w:val="auto"/>
        </w:rPr>
        <w:t>Our engineering program consists of five distinct phases — Conceptual Engineering, Basic Engineering, Detailed Engineering, Operations Support and Decommissioning. Conceptual Engineering, which laid the foundation for the IMSR’s nuclear systems, was completed in 2017 coincident with the first major regulatory milestone, the CNSC Vendor Design Review Phase 1. Basic Engineering was started immediately, and it developed safety and design requirements of the IMSR Plant, computer models for process systems and engineering of plant interfaces such as the relationship between mechanical and electrical systems of the IMSR Plant’s Nuclear Facility. This work facilitated CNSC’s VDR Phase 2 process. We considered the Basic Engineering phase complete in April 2023 when CNSC concluded its VDR and issued its Phase 2 report.</w:t>
      </w:r>
    </w:p>
    <w:p>
      <w:pPr>
        <w:spacing w:after="0" w:line="177" w:lineRule="exact"/>
        <w:rPr>
          <w:sz w:val="20"/>
          <w:szCs w:val="20"/>
          <w:color w:val="auto"/>
        </w:rPr>
      </w:pPr>
    </w:p>
    <w:p>
      <w:pPr>
        <w:ind w:left="40" w:right="599" w:firstLine="627"/>
        <w:spacing w:after="0" w:line="275" w:lineRule="auto"/>
        <w:rPr>
          <w:sz w:val="20"/>
          <w:szCs w:val="20"/>
          <w:color w:val="auto"/>
        </w:rPr>
      </w:pPr>
      <w:r>
        <w:rPr>
          <w:rFonts w:ascii="Times New Roman" w:cs="Times New Roman" w:eastAsia="Times New Roman" w:hAnsi="Times New Roman"/>
          <w:sz w:val="17"/>
          <w:szCs w:val="17"/>
          <w:color w:val="auto"/>
        </w:rPr>
        <w:t>We are currently in the Detailed Engineering phase where design focus has moved from the system level to components and the performance requirements for integrated systems, including the requirements for their manufacture, construction and operation. This is an important undertaking to ensure plant economics are achieved.</w:t>
      </w:r>
    </w:p>
    <w:p>
      <w:pPr>
        <w:spacing w:after="0" w:line="163" w:lineRule="exact"/>
        <w:rPr>
          <w:sz w:val="20"/>
          <w:szCs w:val="20"/>
          <w:color w:val="auto"/>
        </w:rPr>
      </w:pPr>
    </w:p>
    <w:p>
      <w:pPr>
        <w:ind w:left="40" w:right="79" w:firstLine="627"/>
        <w:spacing w:after="0" w:line="269" w:lineRule="auto"/>
        <w:rPr>
          <w:sz w:val="20"/>
          <w:szCs w:val="20"/>
          <w:color w:val="auto"/>
        </w:rPr>
      </w:pPr>
      <w:r>
        <w:rPr>
          <w:rFonts w:ascii="Times New Roman" w:cs="Times New Roman" w:eastAsia="Times New Roman" w:hAnsi="Times New Roman"/>
          <w:sz w:val="17"/>
          <w:szCs w:val="17"/>
          <w:color w:val="auto"/>
        </w:rPr>
        <w:t>Our engineering program is designed to coordinate with the scope and timing of elements of our R&amp;D and testing program, as well as our supply chain development activities. Our objective is to ensure that we are able to validate &amp; verify and qualify systems and materials with data secured from accredited R&amp;D and testing counterparties to support our engineering program.</w:t>
      </w:r>
    </w:p>
    <w:p>
      <w:pPr>
        <w:spacing w:after="0" w:line="168" w:lineRule="exact"/>
        <w:rPr>
          <w:sz w:val="20"/>
          <w:szCs w:val="20"/>
          <w:color w:val="auto"/>
        </w:rPr>
      </w:pPr>
    </w:p>
    <w:p>
      <w:pPr>
        <w:ind w:left="40" w:right="139" w:firstLine="627"/>
        <w:spacing w:after="0" w:line="261" w:lineRule="auto"/>
        <w:rPr>
          <w:sz w:val="20"/>
          <w:szCs w:val="20"/>
          <w:color w:val="auto"/>
        </w:rPr>
      </w:pPr>
      <w:r>
        <w:rPr>
          <w:rFonts w:ascii="Times New Roman" w:cs="Times New Roman" w:eastAsia="Times New Roman" w:hAnsi="Times New Roman"/>
          <w:sz w:val="17"/>
          <w:szCs w:val="17"/>
          <w:color w:val="auto"/>
        </w:rPr>
        <w:t>We have progressed the engineering of the IMSR Plant’s Structures, Systems and Components to the Detail Engineering phase. The completion of Detailed Engineering requires that we have R&amp;D and test data to support Operating License applications with nuclear regulatory authorities. We have advanced the engineering program of our IMSR Plant to complete the CNSC VDR, which reactor developers can complete during the design process if the applicable criteria are met. We believe that the conclusion of the CNSC’s VDR as well as the co-incident inter-agency CNSC-USNRC review to be a positive reflection of our engineering program, R&amp;D and testing program, and the status of our IMSR Plant design. Our engineering and R&amp;D and testing programs are facilitating the preparation and submission of technical material to the USNRC supporting our pre-application engagement.</w:t>
      </w:r>
    </w:p>
    <w:p>
      <w:pPr>
        <w:spacing w:after="0" w:line="179" w:lineRule="exact"/>
        <w:rPr>
          <w:sz w:val="20"/>
          <w:szCs w:val="20"/>
          <w:color w:val="auto"/>
        </w:rPr>
      </w:pPr>
    </w:p>
    <w:p>
      <w:pPr>
        <w:ind w:left="40" w:right="299" w:firstLine="627"/>
        <w:spacing w:after="0" w:line="264" w:lineRule="auto"/>
        <w:rPr>
          <w:sz w:val="20"/>
          <w:szCs w:val="20"/>
          <w:color w:val="auto"/>
        </w:rPr>
      </w:pPr>
      <w:r>
        <w:rPr>
          <w:rFonts w:ascii="Times New Roman" w:cs="Times New Roman" w:eastAsia="Times New Roman" w:hAnsi="Times New Roman"/>
          <w:sz w:val="17"/>
          <w:szCs w:val="17"/>
          <w:color w:val="auto"/>
        </w:rPr>
        <w:t>Our R&amp;D and testing program has specified detailed individual tests that we need to undertake to qualify our materials, including our graphite moderator; those tests have been underway since 2020 at the NRG Petten reactor in the Netherlands and given us a deep understanding of graphite performance. Our R&amp;D and testing program has specified the individual tests to qualify our IMSR Fuel Salt. While many tests have already been undertaken and are complete, giving us a deep understanding of graphite/fuel salt and alloy/fuel salt interactions, our program for IMSR Fuel Salt qualification is continuing.</w:t>
      </w:r>
    </w:p>
    <w:p>
      <w:pPr>
        <w:spacing w:after="0" w:line="172" w:lineRule="exact"/>
        <w:rPr>
          <w:sz w:val="20"/>
          <w:szCs w:val="20"/>
          <w:color w:val="auto"/>
        </w:rPr>
      </w:pPr>
    </w:p>
    <w:p>
      <w:pPr>
        <w:ind w:left="40" w:right="439" w:firstLine="627"/>
        <w:spacing w:after="0" w:line="266" w:lineRule="auto"/>
        <w:rPr>
          <w:sz w:val="20"/>
          <w:szCs w:val="20"/>
          <w:color w:val="auto"/>
        </w:rPr>
      </w:pPr>
      <w:r>
        <w:rPr>
          <w:rFonts w:ascii="Times New Roman" w:cs="Times New Roman" w:eastAsia="Times New Roman" w:hAnsi="Times New Roman"/>
          <w:sz w:val="17"/>
          <w:szCs w:val="17"/>
          <w:color w:val="auto"/>
        </w:rPr>
        <w:t>We have developed a comprehensive code validation &amp; verifications strategy, which is being implemented in part through U.S. DOE-funded projects targeting validation &amp; verifications of physics and thermal-hydraulics computational models. We intend to build and operate test rigs that will deliver the data to validate and verify our key models for IMSR fission power control and heat transport. We consider all these activities to be typical for the design and licensing a fission reactor for commercial use.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59" w:firstLine="627"/>
        <w:spacing w:after="0" w:line="266" w:lineRule="auto"/>
        <w:rPr>
          <w:sz w:val="20"/>
          <w:szCs w:val="20"/>
          <w:color w:val="auto"/>
        </w:rPr>
      </w:pPr>
      <w:r>
        <w:rPr>
          <w:rFonts w:ascii="Times New Roman" w:cs="Times New Roman" w:eastAsia="Times New Roman" w:hAnsi="Times New Roman"/>
          <w:sz w:val="17"/>
          <w:szCs w:val="17"/>
          <w:color w:val="auto"/>
        </w:rPr>
        <w:t>Our engineering program has progressed our IMSR Plant design to a Preliminary Safety Analysis Report (PSAR) standard, a recognized development status of nuclear plant design in the nuclear industry. While we believe the status of our IMSR Plant design process to be satisfactory for an IMSR Plant project to secure a Construction Permit, this process must be substantially complete for an Operating License application and expressed by a Final Safety Analysis Report for our IMSR Plant design.</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Regulatory Matters</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Regulatory strategy and engagement</w:t>
      </w:r>
    </w:p>
    <w:p>
      <w:pPr>
        <w:spacing w:after="0" w:line="224" w:lineRule="exact"/>
        <w:rPr>
          <w:sz w:val="20"/>
          <w:szCs w:val="20"/>
          <w:color w:val="auto"/>
        </w:rPr>
      </w:pPr>
    </w:p>
    <w:p>
      <w:pPr>
        <w:ind w:left="40" w:right="259" w:firstLine="627"/>
        <w:spacing w:after="0" w:line="264" w:lineRule="auto"/>
        <w:rPr>
          <w:sz w:val="20"/>
          <w:szCs w:val="20"/>
          <w:color w:val="auto"/>
        </w:rPr>
      </w:pPr>
      <w:r>
        <w:rPr>
          <w:rFonts w:ascii="Times New Roman" w:cs="Times New Roman" w:eastAsia="Times New Roman" w:hAnsi="Times New Roman"/>
          <w:sz w:val="17"/>
          <w:szCs w:val="17"/>
          <w:color w:val="auto"/>
        </w:rPr>
        <w:t>Our regulatory strategy has been a central element of our commercialization plan since the Company’s inception. Its objective is to establish the IMSR Plant as licensable and deployable by the plant’s owner-operator in key global markets, starting with the United States and Canada. We have structured our regulatory engagement to reduce commercial and development risks, which includes our objective to align to the greatest extent we can with existing regulatory frameworks, particularly in the United States and Canada. This approach supports strategic entry in other markets based on jurisdictional readiness and market demand.</w:t>
      </w:r>
    </w:p>
    <w:p>
      <w:pPr>
        <w:spacing w:after="0" w:line="172" w:lineRule="exact"/>
        <w:rPr>
          <w:sz w:val="20"/>
          <w:szCs w:val="20"/>
          <w:color w:val="auto"/>
        </w:rPr>
      </w:pPr>
    </w:p>
    <w:p>
      <w:pPr>
        <w:ind w:left="40" w:right="79" w:firstLine="627"/>
        <w:spacing w:after="0" w:line="266" w:lineRule="auto"/>
        <w:rPr>
          <w:sz w:val="20"/>
          <w:szCs w:val="20"/>
          <w:color w:val="auto"/>
        </w:rPr>
      </w:pPr>
      <w:r>
        <w:rPr>
          <w:rFonts w:ascii="Times New Roman" w:cs="Times New Roman" w:eastAsia="Times New Roman" w:hAnsi="Times New Roman"/>
          <w:sz w:val="17"/>
          <w:szCs w:val="17"/>
          <w:color w:val="auto"/>
        </w:rPr>
        <w:t>The nuclear power industry in the United States is subject to extensive regulation by the USNRC and in Canada by the CNSC, which oversees licensing, safety, environmental impact, and decommissioning. Compliance with USNRC/CNSC regulations is mandatory at all stages of nuclear plant project development and operation, and regulatory approvals can significantly impact project timelines and costs. Additional oversight may come from federal, state/provincial, and local authorities, particularly concerning environmental and construction permits.</w:t>
      </w:r>
    </w:p>
    <w:p>
      <w:pPr>
        <w:spacing w:after="0" w:line="170" w:lineRule="exact"/>
        <w:rPr>
          <w:sz w:val="20"/>
          <w:szCs w:val="20"/>
          <w:color w:val="auto"/>
        </w:rPr>
      </w:pPr>
    </w:p>
    <w:p>
      <w:pPr>
        <w:ind w:left="40" w:right="99" w:firstLine="627"/>
        <w:spacing w:after="0" w:line="261" w:lineRule="auto"/>
        <w:rPr>
          <w:sz w:val="20"/>
          <w:szCs w:val="20"/>
          <w:color w:val="auto"/>
        </w:rPr>
      </w:pPr>
      <w:r>
        <w:rPr>
          <w:rFonts w:ascii="Times New Roman" w:cs="Times New Roman" w:eastAsia="Times New Roman" w:hAnsi="Times New Roman"/>
          <w:sz w:val="17"/>
          <w:szCs w:val="17"/>
          <w:color w:val="auto"/>
        </w:rPr>
        <w:t>Our regulatory strategy has focused on early, collaborative engagement with regulators to develop our IMSR Plant design under regulator-informed conditions. Its intention is to reduce development risk, enhance commercial readiness, and establish a clear pathway for the deployment of the IMSR Plant by future owner-operators in key global markets. Importantly, as noted above, our Company does not intend to act as the licensee, owner, or operator of IMSR Plants. Our business model is based on the supply of nuclear reactor systems, fuel, and engineering services to owner-operator customers who are responsible for securing all necessary regulatory approvals. As such, our regulatory engagement is focused on providing a technology and design foundation that can support third-party licensing activities without requiring Terrestrial Energy itself to hold construction or operating licenses. This model reduces our direct regulatory burden and exposure to project-specific licensing timelines and requirements.</w:t>
      </w:r>
    </w:p>
    <w:p>
      <w:pPr>
        <w:spacing w:after="0" w:line="175" w:lineRule="exact"/>
        <w:rPr>
          <w:sz w:val="20"/>
          <w:szCs w:val="20"/>
          <w:color w:val="auto"/>
        </w:rPr>
      </w:pPr>
    </w:p>
    <w:p>
      <w:pPr>
        <w:ind w:left="40" w:right="139" w:firstLine="627"/>
        <w:spacing w:after="0" w:line="264" w:lineRule="auto"/>
        <w:rPr>
          <w:sz w:val="20"/>
          <w:szCs w:val="20"/>
          <w:color w:val="auto"/>
        </w:rPr>
      </w:pPr>
      <w:r>
        <w:rPr>
          <w:rFonts w:ascii="Times New Roman" w:cs="Times New Roman" w:eastAsia="Times New Roman" w:hAnsi="Times New Roman"/>
          <w:sz w:val="17"/>
          <w:szCs w:val="17"/>
          <w:color w:val="auto"/>
        </w:rPr>
        <w:t>We have prioritized deep, early-stage technical engagement with the CNSC and the USNRC to advance mutual understanding of the IMSR Plant’s design and licensing potential. This early engagement enables regulators to provide feedback on the design’s alignment with existing regulatory frameworks and expectations well in advance of the submission of any construction and operating license applications. By investing in this pre-licensing dialogue, we have been able to systematically identify and address potential regulatory challenges, support future applications by owner-operators, and build commercial confidence in the IMSR Plant’s licensability.</w:t>
      </w:r>
    </w:p>
    <w:p>
      <w:pPr>
        <w:spacing w:after="0" w:line="172" w:lineRule="exact"/>
        <w:rPr>
          <w:sz w:val="20"/>
          <w:szCs w:val="20"/>
          <w:color w:val="auto"/>
        </w:rPr>
      </w:pPr>
    </w:p>
    <w:p>
      <w:pPr>
        <w:ind w:left="40" w:right="79" w:firstLine="627"/>
        <w:spacing w:after="0" w:line="266" w:lineRule="auto"/>
        <w:rPr>
          <w:sz w:val="20"/>
          <w:szCs w:val="20"/>
          <w:color w:val="auto"/>
        </w:rPr>
      </w:pPr>
      <w:r>
        <w:rPr>
          <w:rFonts w:ascii="Times New Roman" w:cs="Times New Roman" w:eastAsia="Times New Roman" w:hAnsi="Times New Roman"/>
          <w:sz w:val="17"/>
          <w:szCs w:val="17"/>
          <w:color w:val="auto"/>
        </w:rPr>
        <w:t>Until our successful completion of the Canadian Vendor Design Review (VDR) process described below, we focused on the CNSC regulatory process as it was accessible mid-design to a nuclear plant developer and aligned well with our business objectives. While we have planned for engagements with any other nuclear regulators, such as the Office of Nuclear Regulation in the United Kingdom, to date we have only engaged with the USNRC and CNSC. The completion of our engagement with the CNSC in 2023 has allowed us to focus on our USNRC engagement.</w:t>
      </w:r>
    </w:p>
    <w:p>
      <w:pPr>
        <w:spacing w:after="0" w:line="170" w:lineRule="exact"/>
        <w:rPr>
          <w:sz w:val="20"/>
          <w:szCs w:val="20"/>
          <w:color w:val="auto"/>
        </w:rPr>
      </w:pPr>
    </w:p>
    <w:p>
      <w:pPr>
        <w:ind w:left="40" w:right="239" w:firstLine="627"/>
        <w:spacing w:after="0" w:line="263" w:lineRule="auto"/>
        <w:rPr>
          <w:sz w:val="20"/>
          <w:szCs w:val="20"/>
          <w:color w:val="auto"/>
        </w:rPr>
      </w:pPr>
      <w:r>
        <w:rPr>
          <w:rFonts w:ascii="Times New Roman" w:cs="Times New Roman" w:eastAsia="Times New Roman" w:hAnsi="Times New Roman"/>
          <w:sz w:val="17"/>
          <w:szCs w:val="17"/>
          <w:color w:val="auto"/>
        </w:rPr>
        <w:t>In 2019 we were selected by leadership of the USNRC and CNSC for the first-ever inter-agency collaborative cross-border regulatory review of a Gen IV reactor technology; the review was completed in May 2022. This joint review assisted with advancing regulatory understanding of our IMSR technology in advance of license applications. This cross-</w:t>
      </w:r>
    </w:p>
    <w:p>
      <w:pPr>
        <w:spacing w:after="0" w:line="2" w:lineRule="exact"/>
        <w:rPr>
          <w:sz w:val="20"/>
          <w:szCs w:val="20"/>
          <w:color w:val="auto"/>
        </w:rPr>
      </w:pPr>
    </w:p>
    <w:p>
      <w:pPr>
        <w:ind w:left="40" w:right="239"/>
        <w:spacing w:after="0" w:line="272" w:lineRule="auto"/>
        <w:rPr>
          <w:sz w:val="20"/>
          <w:szCs w:val="20"/>
          <w:color w:val="auto"/>
        </w:rPr>
      </w:pPr>
      <w:r>
        <w:rPr>
          <w:rFonts w:ascii="Times New Roman" w:cs="Times New Roman" w:eastAsia="Times New Roman" w:hAnsi="Times New Roman"/>
          <w:sz w:val="17"/>
          <w:szCs w:val="17"/>
          <w:color w:val="auto"/>
        </w:rPr>
        <w:t>border regulatory collaboration provided early alignment on reactor design and licensing considerations across both agencies, facilitating future licensing submissions.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2016, we requested the CNSC to undertake a VDR of our IMSR Plant design. A VDR is a pre-</w:t>
      </w:r>
    </w:p>
    <w:p>
      <w:pPr>
        <w:spacing w:after="0" w:line="32"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licensing programmatic review of a nuclear power plant against Canadian nuclear regulatory requirements for commercial operation and is designed to identify early in the reactor design process any barriers to licensing for commercial use, and to establish commercial confidence in the “licensability” of a nuclear plant design before proceeding to site specific activities. The scope of the VDR covered design, operation and decommissioning of the IMSR plant. A completed VDR has historically been required by Canadian owner-operators of nuclear plants before a decision will be made to progress to site-specific licensing activities for a new nuclear plant, as it establishes the “licensability” of the nuclear plant, a critical commercial risk mitigator.</w:t>
      </w:r>
    </w:p>
    <w:p>
      <w:pPr>
        <w:spacing w:after="0" w:line="178" w:lineRule="exact"/>
        <w:rPr>
          <w:sz w:val="20"/>
          <w:szCs w:val="20"/>
          <w:color w:val="auto"/>
        </w:rPr>
      </w:pPr>
    </w:p>
    <w:p>
      <w:pPr>
        <w:ind w:left="40" w:right="99" w:firstLine="627"/>
        <w:spacing w:after="0" w:line="262" w:lineRule="auto"/>
        <w:rPr>
          <w:sz w:val="20"/>
          <w:szCs w:val="20"/>
          <w:color w:val="auto"/>
        </w:rPr>
      </w:pPr>
      <w:r>
        <w:rPr>
          <w:rFonts w:ascii="Times New Roman" w:cs="Times New Roman" w:eastAsia="Times New Roman" w:hAnsi="Times New Roman"/>
          <w:sz w:val="17"/>
          <w:szCs w:val="17"/>
          <w:color w:val="auto"/>
        </w:rPr>
        <w:t>In April 2023, the CNSC completed its VDR of our IMSR Plant design. Our Company became the first developer of a Gen IV power plant to complete the CNSC’s VDR. The CNSC issued a public summary report confirming that our IMSR Plant design meets the expectations set out in the 19 focus areas required for licensing, including reactor physics, thermal-hydraulics, human factors, fuel qualification, and decommissioning. The CNSC concluded that there are “no fundamental barriers to licensing” the IMSR Plant design in Canada for commercial use. The CNSC defines a fundamental barrier as “a failure to address known issues of safety significance or the use of unproven engineering practices for new or innovative design features (i.e., not adequately supported by analysis, research and development, or both)”.</w:t>
      </w:r>
    </w:p>
    <w:p>
      <w:pPr>
        <w:spacing w:after="0" w:line="177" w:lineRule="exact"/>
        <w:rPr>
          <w:sz w:val="20"/>
          <w:szCs w:val="20"/>
          <w:color w:val="auto"/>
        </w:rPr>
      </w:pPr>
    </w:p>
    <w:p>
      <w:pPr>
        <w:ind w:left="40" w:right="99" w:firstLine="627"/>
        <w:spacing w:after="0" w:line="262" w:lineRule="auto"/>
        <w:rPr>
          <w:sz w:val="20"/>
          <w:szCs w:val="20"/>
          <w:color w:val="auto"/>
        </w:rPr>
      </w:pPr>
      <w:r>
        <w:rPr>
          <w:rFonts w:ascii="Times New Roman" w:cs="Times New Roman" w:eastAsia="Times New Roman" w:hAnsi="Times New Roman"/>
          <w:sz w:val="17"/>
          <w:szCs w:val="17"/>
          <w:color w:val="auto"/>
        </w:rPr>
        <w:t>Consequently, we believe the CNSC VDR completion was a major milestone for our Company and our IMSR Plant commercialization program. While this does not constitute a regulatory approval of the design in Canada, it has provided us with a detailed understanding of regulatory requirements for licensed operation of an IMSR Plant and commercial confidence that our nuclear plant design, which employs MSR technology, is “licensable” for commercial use in Canada and, by extension, also potentially licensable in other Western markets. We believe that this is first time in Western markets that a power plant design using MSR technology has been presented to a leading nuclear regulator for a detailed and programmatic regulatory review for commercial use.</w:t>
      </w:r>
    </w:p>
    <w:p>
      <w:pPr>
        <w:spacing w:after="0" w:line="177" w:lineRule="exact"/>
        <w:rPr>
          <w:sz w:val="20"/>
          <w:szCs w:val="20"/>
          <w:color w:val="auto"/>
        </w:rPr>
      </w:pPr>
    </w:p>
    <w:p>
      <w:pPr>
        <w:ind w:left="40" w:right="179" w:firstLine="627"/>
        <w:spacing w:after="0" w:line="275" w:lineRule="auto"/>
        <w:rPr>
          <w:sz w:val="20"/>
          <w:szCs w:val="20"/>
          <w:color w:val="auto"/>
        </w:rPr>
      </w:pPr>
      <w:r>
        <w:rPr>
          <w:rFonts w:ascii="Times New Roman" w:cs="Times New Roman" w:eastAsia="Times New Roman" w:hAnsi="Times New Roman"/>
          <w:sz w:val="17"/>
          <w:szCs w:val="17"/>
          <w:color w:val="auto"/>
        </w:rPr>
        <w:t>The insights gained through the VDR process — including regulator feedback on IMSR nuclear systems, fuel qualification, and safety-related features — are now being directly incorporated into the technical basis for future construction permit and operating license applications. This improves the completeness and defensibility of our licensing submissions.</w:t>
      </w:r>
    </w:p>
    <w:p>
      <w:pPr>
        <w:spacing w:after="0" w:line="163" w:lineRule="exact"/>
        <w:rPr>
          <w:sz w:val="20"/>
          <w:szCs w:val="20"/>
          <w:color w:val="auto"/>
        </w:rPr>
      </w:pPr>
    </w:p>
    <w:p>
      <w:pPr>
        <w:ind w:left="40" w:right="199" w:firstLine="627"/>
        <w:spacing w:after="0" w:line="267" w:lineRule="auto"/>
        <w:rPr>
          <w:sz w:val="20"/>
          <w:szCs w:val="20"/>
          <w:color w:val="auto"/>
        </w:rPr>
      </w:pPr>
      <w:r>
        <w:rPr>
          <w:rFonts w:ascii="Times New Roman" w:cs="Times New Roman" w:eastAsia="Times New Roman" w:hAnsi="Times New Roman"/>
          <w:sz w:val="17"/>
          <w:szCs w:val="17"/>
          <w:color w:val="auto"/>
        </w:rPr>
        <w:t>In 2017, we started our engagement with the USNRC, entering a pre-application phase of the U.S. nuclear regulatory process with a program of technical reports, white papers and topical report submissions. Our USNRC pre-</w:t>
      </w:r>
    </w:p>
    <w:p>
      <w:pPr>
        <w:spacing w:after="0" w:line="1" w:lineRule="exact"/>
        <w:rPr>
          <w:sz w:val="20"/>
          <w:szCs w:val="20"/>
          <w:color w:val="auto"/>
        </w:rPr>
      </w:pPr>
    </w:p>
    <w:p>
      <w:pPr>
        <w:ind w:left="40" w:right="679"/>
        <w:spacing w:after="0" w:line="272" w:lineRule="auto"/>
        <w:rPr>
          <w:sz w:val="20"/>
          <w:szCs w:val="20"/>
          <w:color w:val="auto"/>
        </w:rPr>
      </w:pPr>
      <w:r>
        <w:rPr>
          <w:rFonts w:ascii="Times New Roman" w:cs="Times New Roman" w:eastAsia="Times New Roman" w:hAnsi="Times New Roman"/>
          <w:sz w:val="17"/>
          <w:szCs w:val="17"/>
          <w:color w:val="auto"/>
        </w:rPr>
        <w:t>application engagement is guided by our regulator engagement plan, which we periodically update and file with the USNRC. This plan anticipates that we will seek as applicant 10 C.F.R. Part 52 Standard Design Approval of the IMSR.</w:t>
      </w:r>
    </w:p>
    <w:p>
      <w:pPr>
        <w:spacing w:after="0" w:line="165" w:lineRule="exact"/>
        <w:rPr>
          <w:sz w:val="20"/>
          <w:szCs w:val="20"/>
          <w:color w:val="auto"/>
        </w:rPr>
      </w:pPr>
    </w:p>
    <w:p>
      <w:pPr>
        <w:ind w:left="40" w:right="79" w:firstLine="627"/>
        <w:spacing w:after="0" w:line="260" w:lineRule="auto"/>
        <w:rPr>
          <w:sz w:val="20"/>
          <w:szCs w:val="20"/>
          <w:color w:val="auto"/>
        </w:rPr>
      </w:pPr>
      <w:r>
        <w:rPr>
          <w:rFonts w:ascii="Times New Roman" w:cs="Times New Roman" w:eastAsia="Times New Roman" w:hAnsi="Times New Roman"/>
          <w:sz w:val="17"/>
          <w:szCs w:val="17"/>
          <w:color w:val="auto"/>
        </w:rPr>
        <w:t>For the FCP IMSR Plant project, we have assumed a 10 C.F.R. Part 50 licensing process, rather than a 10 C.F.R. Part 52 process. A Part 50 process bifurcates the process for licensing nuclear reactors into two steps, one for the Construction Permit and one for the Operating License, whereas the Part 52 combines the approval process for both the Construction Permit and the Operating License into a single application. The decision to use a Part 50 or 52 process will be made by the IMSR Plant project developer depending on the individual circumstances applicable to a project, which are not determinable at this time. The USNRC process permits our 10 C.F.R. Part 52 Standard Design Approval work to be transferred to support a 10 C.F.R. Part 50 application by the developer of our FCP IMSR Plant project. By pursuing this pathway, we believe this will accelerate our ability to receive a USNRC approval under Part 50. We anticipate that our FCP IMSR Plant project will consist of an approximately five-year pre-construction period, concluding with USNRC’s issuance of a Construction Permit to the IMSR Plant project developer, and an approximately five-year construction period, concluding with the USNRC’s issuance of an Operating License to the IMSR Plant project developer.</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19" w:firstLine="627"/>
        <w:spacing w:after="0" w:line="262" w:lineRule="auto"/>
        <w:rPr>
          <w:sz w:val="20"/>
          <w:szCs w:val="20"/>
          <w:color w:val="auto"/>
        </w:rPr>
      </w:pPr>
      <w:r>
        <w:rPr>
          <w:rFonts w:ascii="Times New Roman" w:cs="Times New Roman" w:eastAsia="Times New Roman" w:hAnsi="Times New Roman"/>
          <w:sz w:val="17"/>
          <w:szCs w:val="17"/>
          <w:color w:val="auto"/>
        </w:rPr>
        <w:t>We anticipate assisting the IMSR Plant project developer with the preparation of the Construction Permit application to the USNRC. This will require the completion of the IMSR Plant’s site characterization analysis, which covers site water, soil, weather, seismic and other environment datasets. We also anticipate assisting the IMSR Plant project developer with the preparation of the Operating License application to the USNRC. An Operating License application will require us to have substantially completed our IMSR Plant design as well as our R&amp;D and testing program, which will achieve the validation &amp; verification and qualification of IMSR plant nuclear systems required for USNRC approval of the Operating License application.</w:t>
      </w:r>
    </w:p>
    <w:p>
      <w:pPr>
        <w:spacing w:after="0" w:line="177" w:lineRule="exact"/>
        <w:rPr>
          <w:sz w:val="20"/>
          <w:szCs w:val="20"/>
          <w:color w:val="auto"/>
        </w:rPr>
      </w:pPr>
    </w:p>
    <w:p>
      <w:pPr>
        <w:ind w:left="40" w:right="159" w:firstLine="627"/>
        <w:spacing w:after="0" w:line="269" w:lineRule="auto"/>
        <w:rPr>
          <w:sz w:val="20"/>
          <w:szCs w:val="20"/>
          <w:color w:val="auto"/>
        </w:rPr>
      </w:pPr>
      <w:r>
        <w:rPr>
          <w:rFonts w:ascii="Times New Roman" w:cs="Times New Roman" w:eastAsia="Times New Roman" w:hAnsi="Times New Roman"/>
          <w:sz w:val="17"/>
          <w:szCs w:val="17"/>
          <w:color w:val="auto"/>
        </w:rPr>
        <w:t>We have assumed a 10 C.F.R. Part 50 licensing process for an NCP IMSR Plant project. This is expected to consist of an approximately four-year pre-construction period, concluding with the USNRC’s issuance of Construction Permit to the IMSR Plant project developer, and an approximately four-year construction period, concluding with the USNRC’s issuance of an Operating License to the IMSR Plant project developer.</w:t>
      </w:r>
    </w:p>
    <w:p>
      <w:pPr>
        <w:spacing w:after="0" w:line="168" w:lineRule="exact"/>
        <w:rPr>
          <w:sz w:val="20"/>
          <w:szCs w:val="20"/>
          <w:color w:val="auto"/>
        </w:rPr>
      </w:pPr>
    </w:p>
    <w:p>
      <w:pPr>
        <w:ind w:left="40" w:right="79" w:firstLine="627"/>
        <w:spacing w:after="0" w:line="259" w:lineRule="auto"/>
        <w:rPr>
          <w:sz w:val="20"/>
          <w:szCs w:val="20"/>
          <w:color w:val="auto"/>
        </w:rPr>
      </w:pPr>
      <w:r>
        <w:rPr>
          <w:rFonts w:ascii="Times New Roman" w:cs="Times New Roman" w:eastAsia="Times New Roman" w:hAnsi="Times New Roman"/>
          <w:sz w:val="17"/>
          <w:szCs w:val="17"/>
          <w:color w:val="auto"/>
        </w:rPr>
        <w:t>In addition to its value in supporting licensing efforts in North America, our regulatory engagement with the CNSC and USNRC is also expected to inform future licensing applications in other jurisdictions. The technical materials, methodologies, and regulatory precedents developed through our VDR with the CNSC and our pre-application interactions with the USNRC are intended to form a core body of licensing support documentation that can be adapted for use by our Company, as well as owner/operators in other national regulatory contexts. This includes markets such as the United Kingdom, where the Memorandum of Cooperation signed between the CNSC, USNRC, and the UK’s Office for Nuclear Regulation (“ONR”) facilitates trilateral information-sharing and collaborative review of advanced reactor technologies. We believe this formal regulatory cooperation, along with other multilateral initiatives, will enable the technical and regulatory basis for the IMSR Plant to be more efficiently recognized by regulators beyond Canada and the United States, enhancing the scalability and international deployment potential of our technology. Given the USNRC’s international leadership in the establishment of nuclear regulatory standards, we believe that design approval by the USNRC will assist with our development and the market acceptance of a standard IMSR Plant design outside of North America, reducing the cost of subsequent regulatory review activities in international markets.</w:t>
      </w:r>
    </w:p>
    <w:p>
      <w:pPr>
        <w:spacing w:after="0" w:line="182" w:lineRule="exact"/>
        <w:rPr>
          <w:sz w:val="20"/>
          <w:szCs w:val="20"/>
          <w:color w:val="auto"/>
        </w:rPr>
      </w:pPr>
    </w:p>
    <w:p>
      <w:pPr>
        <w:ind w:left="40" w:right="119" w:firstLine="627"/>
        <w:spacing w:after="0" w:line="266" w:lineRule="auto"/>
        <w:rPr>
          <w:sz w:val="20"/>
          <w:szCs w:val="20"/>
          <w:color w:val="auto"/>
        </w:rPr>
      </w:pPr>
      <w:r>
        <w:rPr>
          <w:rFonts w:ascii="Times New Roman" w:cs="Times New Roman" w:eastAsia="Times New Roman" w:hAnsi="Times New Roman"/>
          <w:sz w:val="17"/>
          <w:szCs w:val="17"/>
          <w:color w:val="auto"/>
        </w:rPr>
        <w:t>Coordinated with our CNSC VDR engagement, we have engaged with the International Atomic Energy Agency (“IAEA”) as part of our program to ensure compliance with international safeguards for non-proliferation and security of nuclear materials. We continue to participate in global intergovernmental working groups on Molten Salt Reactor technologies, supporting our goal to establish the IMSR Plant and viable international solution in export markets beyond Canada and the United States.</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Environmental, Health and Safety</w:t>
      </w:r>
    </w:p>
    <w:p>
      <w:pPr>
        <w:spacing w:after="0" w:line="224" w:lineRule="exact"/>
        <w:rPr>
          <w:sz w:val="20"/>
          <w:szCs w:val="20"/>
          <w:color w:val="auto"/>
        </w:rPr>
      </w:pPr>
    </w:p>
    <w:p>
      <w:pPr>
        <w:ind w:left="40" w:right="219" w:firstLine="627"/>
        <w:spacing w:after="0" w:line="275" w:lineRule="auto"/>
        <w:rPr>
          <w:sz w:val="20"/>
          <w:szCs w:val="20"/>
          <w:color w:val="auto"/>
        </w:rPr>
      </w:pPr>
      <w:r>
        <w:rPr>
          <w:rFonts w:ascii="Times New Roman" w:cs="Times New Roman" w:eastAsia="Times New Roman" w:hAnsi="Times New Roman"/>
          <w:sz w:val="17"/>
          <w:szCs w:val="17"/>
          <w:color w:val="auto"/>
        </w:rPr>
        <w:t>The IMSR Plant presents known and novel safety, health, and environmental risks with respect to its construction, operation, IMSR Core-unit replacement, IMSR spent fuel and Core-unit storage, and decommissioning. These activities share risks common to energy-related capital projects, such as construction safety, industrial hazards, and material handling risks.</w:t>
      </w:r>
    </w:p>
    <w:p>
      <w:pPr>
        <w:spacing w:after="0" w:line="163" w:lineRule="exact"/>
        <w:rPr>
          <w:sz w:val="20"/>
          <w:szCs w:val="20"/>
          <w:color w:val="auto"/>
        </w:rPr>
      </w:pPr>
    </w:p>
    <w:p>
      <w:pPr>
        <w:ind w:left="40" w:right="79" w:firstLine="627"/>
        <w:spacing w:after="0" w:line="259" w:lineRule="auto"/>
        <w:rPr>
          <w:sz w:val="20"/>
          <w:szCs w:val="20"/>
          <w:color w:val="auto"/>
        </w:rPr>
      </w:pPr>
      <w:r>
        <w:rPr>
          <w:rFonts w:ascii="Times New Roman" w:cs="Times New Roman" w:eastAsia="Times New Roman" w:hAnsi="Times New Roman"/>
          <w:sz w:val="17"/>
          <w:szCs w:val="17"/>
          <w:color w:val="auto"/>
        </w:rPr>
        <w:t>The IMSR Plant also presents unique risks due to its nuclear fission process and innovative design, including the use of IMSR Core-unit and IMSR Fuel Salt. We believe many of these risks are mitigated by our design of safety systems for our IMSR Plant and its high inherent safety in operation attributable to our use of MSR technology and our proprietary design of MSR. By design, during IMSR operation non-gaseous radioactive products and by-products of the fission process are contained in the sealed IMSR Core-unit and immobilized in the IMSR Fuel Salt via strong ionic chemical bonding. Gaseous fission products are captured safety by a specifically designed “off-gas” system. The IMSR Fuel Salt from each spent IMSR Core-unit is partially reused in each replacement IMSR Core-unit with the excess fuel salt removed and stored in a spent fuel vault within the plant nuclear containment until decommissioning of the IMSR Plant. Furthermore, each spent IMSR Core-unit, emptied of IMSR Fuel Salt, is removed to a separate and secure IMSR Core-unit Storage Silo within the reactor building, where it will remain for the life of the plant. As a result of the IMSR Plant’s spent fuel management process, we do not anticipate the plant requires a separate licensed facility for the interim storage of spent nuclear fuel required by some of our competitors. Nevertheless, IMSR Plant operations and the related supply chain inherently involve the use, transportation, and disposal of toxic, hazardous and radioactive materials.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79" w:firstLine="627"/>
        <w:spacing w:after="0" w:line="264" w:lineRule="auto"/>
        <w:rPr>
          <w:sz w:val="20"/>
          <w:szCs w:val="20"/>
          <w:color w:val="auto"/>
        </w:rPr>
      </w:pPr>
      <w:r>
        <w:rPr>
          <w:rFonts w:ascii="Times New Roman" w:cs="Times New Roman" w:eastAsia="Times New Roman" w:hAnsi="Times New Roman"/>
          <w:sz w:val="17"/>
          <w:szCs w:val="17"/>
          <w:color w:val="auto"/>
        </w:rPr>
        <w:t>The risks of our IMSR Plant and its design features for safe operation were the subject of the CNSC’s formal and programmatic VDR process from 2016 to 2023. The scope of the VDR covered design, operation and decommissioning of the IMSR Plant. At the conclusion the CNSC VDR process, the CNSC stated that IMSR Plant design demonstrated compliance with Canadian safety codes and standards and there were no “fundamental barriers” to licensing. The CNSC defines a fundamental barrier as “a failure to address known issues of safety significance or the use of unproven engineering practices for new or innovative design features (i.e., not adequately supported by analysis, research and development, or both)”.</w:t>
      </w:r>
    </w:p>
    <w:p>
      <w:pPr>
        <w:spacing w:after="0" w:line="172" w:lineRule="exact"/>
        <w:rPr>
          <w:sz w:val="20"/>
          <w:szCs w:val="20"/>
          <w:color w:val="auto"/>
        </w:rPr>
      </w:pPr>
    </w:p>
    <w:p>
      <w:pPr>
        <w:ind w:left="40" w:right="139" w:firstLine="627"/>
        <w:spacing w:after="0" w:line="262" w:lineRule="auto"/>
        <w:rPr>
          <w:sz w:val="20"/>
          <w:szCs w:val="20"/>
          <w:color w:val="auto"/>
        </w:rPr>
      </w:pPr>
      <w:r>
        <w:rPr>
          <w:rFonts w:ascii="Times New Roman" w:cs="Times New Roman" w:eastAsia="Times New Roman" w:hAnsi="Times New Roman"/>
          <w:sz w:val="17"/>
          <w:szCs w:val="17"/>
          <w:color w:val="auto"/>
        </w:rPr>
        <w:t>We anticipate supplying the IMSR Plant design for construction, the IMSR Core-unit and IMSR Fuel Salt as well as O&amp;M services. We expect to have contractual provisions to limit liability to breaches in contracted performance of our IMSR design, components and services. Although we will not be the owner and operator of an IMSR Plant, we believe the risks from incidents during the operation of a licensing nuclear plant are insurable and furthermore they are underwritten by the Price-Anderson Act, which generally establishes a no-fault insurance-type system in which the first approximately $15 billion is industry-funded as provided for under such Act. See “Risk Factors — Risks Related to Our Business and Industry — The IMSR Plant involves toxic, hazardous and/or radioactive materials and could result in liability without regard to fault or negligence.”</w:t>
      </w:r>
    </w:p>
    <w:p>
      <w:pPr>
        <w:spacing w:after="0" w:line="3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Research, Development and Testing</w:t>
      </w:r>
    </w:p>
    <w:p>
      <w:pPr>
        <w:spacing w:after="0" w:line="224" w:lineRule="exact"/>
        <w:rPr>
          <w:sz w:val="20"/>
          <w:szCs w:val="20"/>
          <w:color w:val="auto"/>
        </w:rPr>
      </w:pPr>
    </w:p>
    <w:p>
      <w:pPr>
        <w:ind w:left="40" w:right="199" w:firstLine="627"/>
        <w:spacing w:after="0" w:line="261" w:lineRule="auto"/>
        <w:rPr>
          <w:sz w:val="20"/>
          <w:szCs w:val="20"/>
          <w:color w:val="auto"/>
        </w:rPr>
      </w:pPr>
      <w:r>
        <w:rPr>
          <w:rFonts w:ascii="Times New Roman" w:cs="Times New Roman" w:eastAsia="Times New Roman" w:hAnsi="Times New Roman"/>
          <w:sz w:val="17"/>
          <w:szCs w:val="17"/>
          <w:color w:val="auto"/>
        </w:rPr>
        <w:t>Our reactor design process is supported by a comprehensive research and development (R&amp;D) program that works collaboratively with our design teams to integrate rigorous nuclear systems testing, iterative design refinement, and regulatory safety analysis. Our R&amp;D program, which was reviewed by the CNSC as part of its VDR of the IMSR Plant, spans critical technical areas including reactor materials’ qualification, neutronic and thermal-hydraulic systems’ design and testing, and plant instrumentation. Our rigorous computer code validation &amp; verification program of major reactor systems, leveraging the availability of U.S. DOE funding, supports these efforts to verify our neutronics and thermal-hydraulics simulation models against experimental and reference data. We believe that this R&amp;D integrated design process will reduce time-to-market, achieve regulatory compliance, and provide the technical foundation defining IMSR Plant performance.</w:t>
      </w:r>
    </w:p>
    <w:p>
      <w:pPr>
        <w:spacing w:after="0" w:line="179" w:lineRule="exact"/>
        <w:rPr>
          <w:sz w:val="20"/>
          <w:szCs w:val="20"/>
          <w:color w:val="auto"/>
        </w:rPr>
      </w:pPr>
    </w:p>
    <w:p>
      <w:pPr>
        <w:ind w:left="40" w:right="99" w:firstLine="627"/>
        <w:spacing w:after="0" w:line="262" w:lineRule="auto"/>
        <w:rPr>
          <w:sz w:val="20"/>
          <w:szCs w:val="20"/>
          <w:color w:val="auto"/>
        </w:rPr>
      </w:pPr>
      <w:r>
        <w:rPr>
          <w:rFonts w:ascii="Times New Roman" w:cs="Times New Roman" w:eastAsia="Times New Roman" w:hAnsi="Times New Roman"/>
          <w:sz w:val="17"/>
          <w:szCs w:val="17"/>
          <w:color w:val="auto"/>
        </w:rPr>
        <w:t>In August 2025, our “TETRA” proposal was selected by DOE Office of Nuclear Energy for its Advanced Reactor Pilot Program for Accelerated Development, which targets first criticality by July 2026. This program was established as part of President Trump’s Executive Order 14301 in May, creating a new DOE pathway to fast-track commercial licensing activities for small and modular nuclear plants that use advanced reactor technologies, expediting their broad deployment. TETRA purpose and scope is part of our program to prepare for commercial licensing applications. These applications require that neutronic reactor models, including our neutronic model for the IMSR are verified with reference data collected from a small scale “pilot” reactor and in a manner compliant with NRC requirements for a future commercial operating license application.</w:t>
      </w:r>
    </w:p>
    <w:p>
      <w:pPr>
        <w:spacing w:after="0" w:line="177" w:lineRule="exact"/>
        <w:rPr>
          <w:sz w:val="20"/>
          <w:szCs w:val="20"/>
          <w:color w:val="auto"/>
        </w:rPr>
      </w:pPr>
    </w:p>
    <w:p>
      <w:pPr>
        <w:ind w:left="40" w:right="119" w:firstLine="627"/>
        <w:spacing w:after="0" w:line="264" w:lineRule="auto"/>
        <w:rPr>
          <w:sz w:val="20"/>
          <w:szCs w:val="20"/>
          <w:color w:val="auto"/>
        </w:rPr>
      </w:pPr>
      <w:r>
        <w:rPr>
          <w:rFonts w:ascii="Times New Roman" w:cs="Times New Roman" w:eastAsia="Times New Roman" w:hAnsi="Times New Roman"/>
          <w:sz w:val="17"/>
          <w:szCs w:val="17"/>
          <w:color w:val="auto"/>
        </w:rPr>
        <w:t>We believe our TETRA pilot reactor was selected as it was a direct product of our R&amp;D integrated design process that since its creation in 2013 also integrates the licensing requirements for IMSR plant operation as well as the capabilities of our IMSR plant supply chain; the former has been deeply informed by our regulatory experiences with the CNSC and the USNRC. In addition, our TETRA pilot reactor’s target criticality-date benefits from our use of SALEU and the availability of its reactor fuel, as well as the DOE’s willingness to expedite TETRA’s licensed operation using its existing statutory authority, an alternative to the USNRC’s process.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59" w:firstLine="627"/>
        <w:spacing w:after="0" w:line="258" w:lineRule="auto"/>
        <w:rPr>
          <w:sz w:val="20"/>
          <w:szCs w:val="20"/>
          <w:color w:val="auto"/>
        </w:rPr>
      </w:pPr>
      <w:r>
        <w:rPr>
          <w:rFonts w:ascii="Times New Roman" w:cs="Times New Roman" w:eastAsia="Times New Roman" w:hAnsi="Times New Roman"/>
          <w:sz w:val="17"/>
          <w:szCs w:val="17"/>
          <w:color w:val="auto"/>
        </w:rPr>
        <w:t>Our testing strategy involves relationships with laboratory facilities that possess the necessary quality assurance programs, technical capabilities, and qualified personnel. We have cultivated these strategic relationships across a network of facilities spanning North America, Western Europe, and Australia. Our North American relationships include three U.S. national laboratories: Argonne National Laboratory (ANL), Idaho National Laboratory (INL) and Pacific Northwest National Laboratory (PNNL), alongside Canada’s Canadian Nuclear Laboratory (CNL). In Europe, we collaborate with the UK’s National Nuclear Laboratory (NNL), the European Union Joint Research Centre (JRC) including its NRG Pallas facility in the Netherlands. Our international reach extends to the Australian Nuclear Science and Technology Organisation (ANSTO). These relationships are complemented by targeted academic engagements, including with Virginia Polytechnic Institute and State University (Virginia Tech) and Université de Paris, which conduct fundamental research critical to IMSR technological advancement. We are collaborating with Texas A&amp;M University, a leading nuclear engineering and technology university in the U.S., on a proposed IMSR Plant project at the RELLIS campus in Bryan, Texas. We have also integrated specialized private sector expertise through partnerships with KSB in Germany for pump technology and Heat Transfer Research, Inc. (HTRI) in the U.S. for heat exchanger and thermohydraulic test loop design. These R&amp;D and testing relationships provide or have provided contracted R&amp;D and testing services with defined scopes of work to us as part of our normal course business activities to develop the IMSR Plant design to license, construct and commercial operation at fleet scale. Grant awards from the U.S. DOE, Canadian Federal Government, and UK Government have assisted us with our testing and development activities with these diverse organizations.</w:t>
      </w:r>
    </w:p>
    <w:p>
      <w:pPr>
        <w:spacing w:after="0" w:line="397" w:lineRule="exact"/>
        <w:rPr>
          <w:sz w:val="20"/>
          <w:szCs w:val="20"/>
          <w:color w:val="auto"/>
        </w:rPr>
      </w:pPr>
    </w:p>
    <w:p>
      <w:pPr>
        <w:ind w:left="40" w:right="59" w:firstLine="627"/>
        <w:spacing w:after="0" w:line="239" w:lineRule="auto"/>
        <w:rPr>
          <w:sz w:val="20"/>
          <w:szCs w:val="20"/>
          <w:color w:val="auto"/>
        </w:rPr>
      </w:pPr>
      <w:r>
        <w:rPr>
          <w:rFonts w:ascii="Times New Roman" w:cs="Times New Roman" w:eastAsia="Times New Roman" w:hAnsi="Times New Roman"/>
          <w:sz w:val="17"/>
          <w:szCs w:val="17"/>
          <w:color w:val="auto"/>
        </w:rPr>
        <w:t>Each of our R&amp;D and testing counterparties must be “accredited” and comply with our Quality Assurance program required for regulatory compliance before the start of R&amp;D and testing activities. These “accredited” and collaborative R&amp;D and testing relationships under agreed scopes of work intend to demonstrate safe operation of IMSR systems and components, a process referred to as “verification &amp; validation” and “qualification.” In parallel, our R&amp;D relationships have supported critical graphite irradiation tests conducted at the High Flux Reactor in Petten, Netherlands. The first phase of this program has yielded a substantial volume of essential data that demonstrate the performance of our preferred graphite grades at high temperatures under irradiation. R&amp;D activities also encompass testing, optimization, and scale-up of ANSTO’s liquid fuel stabilization and encapsulation “Synroc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technology. Synroc is recognized in the nuclear industry as an alternative to vitrification for the management of waste nuclear material. We believe our activities with ANSTO have demonstrated Synroc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be a robust and safe solution for the management of spent IMSR Fuel Salt and its long-term storage. Parallel advancements have been achieved in the design of neutronics and thermalhydraulic test rigs, and the design of key nuclear components — including primary pumps and primary heat exchangers in the IMSR Core-unit. These efforts build upon our design expertise in IMSR technology that commenced in 2013 and are complemented by our understanding of regulatory requirements to demonstrate validation &amp; verification and qualification.</w:t>
      </w:r>
    </w:p>
    <w:p>
      <w:pPr>
        <w:spacing w:after="0" w:line="1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IMSR Technology</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IMSR is a design of MSR that operates in the thermal neutron spectrum achieved by a graphite moderator with a</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fluoride salt eutectic operating as the reactor’s nuclear fuel and its primary coolant. A MSR is defined by its use of a molten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salt — a fluid with high thermal stability that acts as both the reactor fuel and primary coolant — operating in a low-</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pressure cooling system. As such, this is a major departure from legacy nuclear technology, which is characterized by solid fuel</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cooled with high-temperature water, a thermally unstable fluid, which necessitates a highly pressurized active cooling system</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and almost universally by forced coolant flow from pump action. We believe that these and other clear and distinct operational</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differences articulated in this document offer considerable potential for the IMSR Plant to improve safety, economic efficiency,</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flexibility, and overall commercial value compared to nuclear plants built with legacy nuclear technology and other Gen IV</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technologies.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firstLine="627"/>
        <w:spacing w:after="0" w:line="261" w:lineRule="auto"/>
        <w:rPr>
          <w:sz w:val="20"/>
          <w:szCs w:val="20"/>
          <w:color w:val="auto"/>
        </w:rPr>
      </w:pPr>
      <w:r>
        <w:rPr>
          <w:rFonts w:ascii="Times New Roman" w:cs="Times New Roman" w:eastAsia="Times New Roman" w:hAnsi="Times New Roman"/>
          <w:sz w:val="17"/>
          <w:szCs w:val="17"/>
          <w:color w:val="auto"/>
        </w:rPr>
        <w:t>We believe that our IMSR Plant can achieve a competitive position in commercial markets due to the distinct characteristics of MSR technology and our application of it within the IMSR Plant design. Our IMSR Plant has the following operating characteristics that we believe may be fundamental to addressing certain economic challenges associated with legacy and other Gen IV nuclear technologies, such as high-temperature gas reactors (HTR) and sodium fast reactors (SFR). While high-temperature and low-pressure operation with high inherent safety is characteristic of MSR technology, our IMSR Plant collectively expresses the five characteristics of a small and modular nuclear plant that we believe are essential for commercial success. These five characteristics differentiate the IMSR Plant from nuclear plant using legacy technology as well as other Gen IV nuclear technologies. Additionally, as discussed previously, our IMSR Plant uses readily obtained SALEU fuel instead of HALEU. Figure 4 below sets out the connection between these characteristics and the levelized cost of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123190</wp:posOffset>
            </wp:positionV>
            <wp:extent cx="5363210" cy="1898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63210" cy="189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Figure 4: Waterfall chart of LCOE (USD per MWh) and IMSR operating characteristics</w:t>
      </w:r>
    </w:p>
    <w:p>
      <w:pPr>
        <w:spacing w:after="0" w:line="220" w:lineRule="exact"/>
        <w:rPr>
          <w:sz w:val="20"/>
          <w:szCs w:val="20"/>
          <w:color w:val="auto"/>
        </w:rPr>
      </w:pPr>
    </w:p>
    <w:p>
      <w:pPr>
        <w:ind w:left="40" w:right="9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High-temperature operation. </w:t>
      </w:r>
      <w:r>
        <w:rPr>
          <w:rFonts w:ascii="Times New Roman" w:cs="Times New Roman" w:eastAsia="Times New Roman" w:hAnsi="Times New Roman"/>
          <w:sz w:val="17"/>
          <w:szCs w:val="17"/>
          <w:color w:val="auto"/>
        </w:rPr>
        <w:t>The IMSR Core-unit operates at ~700 °C, which facilitates the IMSR Plant’s thermal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energy supply temperature for commercial use of 585 °C. As a result of this high-temperature reactor operation and energy supply, we have calculated the IMSR Plant’s steam turbines to be approximately 44% (net) thermal efficiency for electricity generation, substantially higher than the approximately 30% (net) efficiency typical of steam turbines driven by a SMR using legacy nuclear technology. Holding all other variables constant, we have calculated that this increased thermal efficiency will lead to a proportionally lower (~32% reduction) in the levelized cost of electricity supplied.</w:t>
      </w:r>
    </w:p>
    <w:p>
      <w:pPr>
        <w:spacing w:after="0" w:line="172" w:lineRule="exact"/>
        <w:rPr>
          <w:sz w:val="20"/>
          <w:szCs w:val="20"/>
          <w:color w:val="auto"/>
        </w:rPr>
      </w:pPr>
    </w:p>
    <w:p>
      <w:pPr>
        <w:ind w:left="40" w:right="99"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Low-pressure operation. </w:t>
      </w:r>
      <w:r>
        <w:rPr>
          <w:rFonts w:ascii="Times New Roman" w:cs="Times New Roman" w:eastAsia="Times New Roman" w:hAnsi="Times New Roman"/>
          <w:sz w:val="17"/>
          <w:szCs w:val="17"/>
          <w:color w:val="auto"/>
        </w:rPr>
        <w:t>Unlike legacy nuclear technology and some Gen IV nuclear technologies, which require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primary cooling system pressurized to 60-170 atmospheres, the IMSR’s primary cooling system operates at near atmospheric pressure. We believe that as a result of avoiding the regulatory safety requirements and engineering complexity of high-pressure operation, the IMSR may allow for simplified containment and systems, which has the potential to reduce manufacturing, construction complexity and cost in U.S., North American and other markets.</w:t>
      </w:r>
    </w:p>
    <w:p>
      <w:pPr>
        <w:spacing w:after="0" w:line="170" w:lineRule="exact"/>
        <w:rPr>
          <w:sz w:val="20"/>
          <w:szCs w:val="20"/>
          <w:color w:val="auto"/>
        </w:rPr>
      </w:pPr>
    </w:p>
    <w:p>
      <w:pPr>
        <w:ind w:left="40" w:right="79" w:firstLine="627"/>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Inherent safety in operation. </w:t>
      </w:r>
      <w:r>
        <w:rPr>
          <w:rFonts w:ascii="Times New Roman" w:cs="Times New Roman" w:eastAsia="Times New Roman" w:hAnsi="Times New Roman"/>
          <w:sz w:val="17"/>
          <w:szCs w:val="17"/>
          <w:color w:val="auto"/>
        </w:rPr>
        <w:t>The IMSR’s use of a thermally stable coolant, which is also the nuclear fuel,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inherent performance characteristics that we believe to be advantageous. For example: (i) low-pressure reactor operation enabled by the use of a thermally stable coolant avoids the hazards of high-pressure reactor operation; (ii) the IMSR Fuel Salt dissipates fission heat through a process of convective fluid flow of the fuel, which is not an inherent operating attribute of legacy nuclear technology, this uses a solid fuel; (iii) our primary means of reactor power control is inherent and facilitated by the IMSR’s strong negative temperature-of-reactivity, rather than with active mechanisms such as mechanical control rods; and, finally (iv) many of the radioactive products and by-products of the IMSR’s nuclear fission process are captured and contained by the IMSR Fuel Salt via strong ionic chemical bonding. These mechanisms, which are highly relevant to IMSR safety, are inherent properties of our reactor’s systems and distinct from the mechanisms of reactor safety used in plants built with legacy and many Gen IV nuclear technologies, which typically involve engineered active safety systems. We believe that economic advantage can be gained from inherent safety.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IMSR innovation</w:t>
      </w:r>
    </w:p>
    <w:p>
      <w:pPr>
        <w:spacing w:after="0" w:line="224" w:lineRule="exact"/>
        <w:rPr>
          <w:sz w:val="20"/>
          <w:szCs w:val="20"/>
          <w:color w:val="auto"/>
        </w:rPr>
      </w:pPr>
    </w:p>
    <w:p>
      <w:pPr>
        <w:ind w:left="40" w:right="239" w:firstLine="627"/>
        <w:spacing w:after="0" w:line="275" w:lineRule="auto"/>
        <w:rPr>
          <w:sz w:val="20"/>
          <w:szCs w:val="20"/>
          <w:color w:val="auto"/>
        </w:rPr>
      </w:pPr>
      <w:r>
        <w:rPr>
          <w:rFonts w:ascii="Times New Roman" w:cs="Times New Roman" w:eastAsia="Times New Roman" w:hAnsi="Times New Roman"/>
          <w:sz w:val="17"/>
          <w:szCs w:val="17"/>
          <w:color w:val="auto"/>
        </w:rPr>
        <w:t>The technological centerpiece of the IMSR Plant is its proprietary IMSR Core-unit. This is a sealed, replaceable reactor vessel that encapsulates all primary reactor systems. Each Core-unit contains the IMSR Fuel Salt, graphite moderator, primary heat exchangers, primary pumps, and other systems.</w:t>
      </w:r>
    </w:p>
    <w:p>
      <w:pPr>
        <w:spacing w:after="0" w:line="163" w:lineRule="exact"/>
        <w:rPr>
          <w:sz w:val="20"/>
          <w:szCs w:val="20"/>
          <w:color w:val="auto"/>
        </w:rPr>
      </w:pPr>
    </w:p>
    <w:p>
      <w:pPr>
        <w:ind w:left="40" w:right="199" w:firstLine="627"/>
        <w:spacing w:after="0" w:line="264" w:lineRule="auto"/>
        <w:rPr>
          <w:sz w:val="20"/>
          <w:szCs w:val="20"/>
          <w:color w:val="auto"/>
        </w:rPr>
      </w:pPr>
      <w:r>
        <w:rPr>
          <w:rFonts w:ascii="Times New Roman" w:cs="Times New Roman" w:eastAsia="Times New Roman" w:hAnsi="Times New Roman"/>
          <w:sz w:val="17"/>
          <w:szCs w:val="17"/>
          <w:color w:val="auto"/>
        </w:rPr>
        <w:t>The IMSR Core-unit leverages MSR technology first developed over many decades, starting in 1950s and 1960s, by the U.S. Department of Energy’s Oak Ridge National Laboratory (“ORNL”), resulting in the benchmark Molten Salt Reactor Experiment (“MSRE”), a prototype MSR that operated successfully for over 13,000 hours. Subsequent innovations to the MSRE include the Denatured Molten Salt Reactor (“DMSR”) design in 1980 and the Sm-AHTR high-temperature reactor in 2010. These later designs introduced important advancements such as a once-through fuel cycles using SALEU and cartridge-based core architecture, further enhancing safety and proliferation resistance.</w:t>
      </w:r>
    </w:p>
    <w:p>
      <w:pPr>
        <w:spacing w:after="0" w:line="172" w:lineRule="exact"/>
        <w:rPr>
          <w:sz w:val="20"/>
          <w:szCs w:val="20"/>
          <w:color w:val="auto"/>
        </w:rPr>
      </w:pPr>
    </w:p>
    <w:p>
      <w:pPr>
        <w:ind w:left="40" w:right="79" w:firstLine="627"/>
        <w:spacing w:after="0" w:line="269" w:lineRule="auto"/>
        <w:rPr>
          <w:sz w:val="20"/>
          <w:szCs w:val="20"/>
          <w:color w:val="auto"/>
        </w:rPr>
      </w:pPr>
      <w:r>
        <w:rPr>
          <w:rFonts w:ascii="Times New Roman" w:cs="Times New Roman" w:eastAsia="Times New Roman" w:hAnsi="Times New Roman"/>
          <w:sz w:val="17"/>
          <w:szCs w:val="17"/>
          <w:color w:val="auto"/>
        </w:rPr>
        <w:t>A key challenge to early MSR commercialization efforts was limited lifetime of components in the reactor core, which is exacerbated at the reactor power densities required for a commercial reactor. Such high-power densities significantly reduce the lifetime of components and particularly the graphite moderator, requiring periodic replacement; this has the potential to create significant maintenance challenges that must be overcome for industrial use of MSR technology.</w:t>
      </w:r>
    </w:p>
    <w:p>
      <w:pPr>
        <w:spacing w:after="0" w:line="168" w:lineRule="exact"/>
        <w:rPr>
          <w:sz w:val="20"/>
          <w:szCs w:val="20"/>
          <w:color w:val="auto"/>
        </w:rPr>
      </w:pPr>
    </w:p>
    <w:p>
      <w:pPr>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We believe our proprietary innovation — the IMSR Core-unit — addresses this maintenance challenge. The IMSR Core-unit innovation is the integration of the primary reactor components (the graphite moderator, primary pumps, primary heat exchangers, and other components) into a sealed and replaceable reactor vessel; see Figure 5. During operating each IMSR Core-unit is housed its Operating Silo and after use a Storage Silo.</w:t>
      </w:r>
    </w:p>
    <w:p>
      <w:pPr>
        <w:spacing w:after="0" w:line="168" w:lineRule="exact"/>
        <w:rPr>
          <w:sz w:val="20"/>
          <w:szCs w:val="20"/>
          <w:color w:val="auto"/>
        </w:rPr>
      </w:pPr>
    </w:p>
    <w:p>
      <w:pPr>
        <w:ind w:left="40" w:right="99" w:firstLine="627"/>
        <w:spacing w:after="0" w:line="269" w:lineRule="auto"/>
        <w:rPr>
          <w:sz w:val="20"/>
          <w:szCs w:val="20"/>
          <w:color w:val="auto"/>
        </w:rPr>
      </w:pPr>
      <w:r>
        <w:rPr>
          <w:rFonts w:ascii="Times New Roman" w:cs="Times New Roman" w:eastAsia="Times New Roman" w:hAnsi="Times New Roman"/>
          <w:sz w:val="17"/>
          <w:szCs w:val="17"/>
          <w:color w:val="auto"/>
        </w:rPr>
        <w:t>This replaceable IMSR Core-unit is designed to mitigate the limited lifetimes of reactor components with a “plug-and-play” component replacement process that operates every seven years and involves the installation of a replacement IMSR Core-unit. We expect the IMSR Core-unit innovation to streamline maintenance, support operational efficiency, and confer potential safety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118110</wp:posOffset>
            </wp:positionV>
            <wp:extent cx="5172075" cy="3000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20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459" w:firstLine="627"/>
        <w:spacing w:after="0" w:line="295" w:lineRule="auto"/>
        <w:rPr>
          <w:sz w:val="20"/>
          <w:szCs w:val="20"/>
          <w:color w:val="auto"/>
        </w:rPr>
      </w:pPr>
      <w:r>
        <w:rPr>
          <w:rFonts w:ascii="Times New Roman" w:cs="Times New Roman" w:eastAsia="Times New Roman" w:hAnsi="Times New Roman"/>
          <w:sz w:val="17"/>
          <w:szCs w:val="17"/>
          <w:color w:val="auto"/>
        </w:rPr>
        <w:t>Figure 5: Illustrative rendering of the IMSR Core-unit innovation to facilitate efficient MSR maintenance. Actual Core-units design, characteristics and appearance may vary materially.</w:t>
      </w:r>
    </w:p>
    <w:p>
      <w:pPr>
        <w:spacing w:after="0" w:line="146" w:lineRule="exact"/>
        <w:rPr>
          <w:sz w:val="20"/>
          <w:szCs w:val="20"/>
          <w:color w:val="auto"/>
        </w:rPr>
      </w:pPr>
    </w:p>
    <w:p>
      <w:pPr>
        <w:ind w:left="40" w:right="99" w:firstLine="627"/>
        <w:spacing w:after="0" w:line="262" w:lineRule="auto"/>
        <w:rPr>
          <w:sz w:val="20"/>
          <w:szCs w:val="20"/>
          <w:color w:val="auto"/>
        </w:rPr>
      </w:pPr>
      <w:r>
        <w:rPr>
          <w:rFonts w:ascii="Times New Roman" w:cs="Times New Roman" w:eastAsia="Times New Roman" w:hAnsi="Times New Roman"/>
          <w:sz w:val="17"/>
          <w:szCs w:val="17"/>
          <w:color w:val="auto"/>
        </w:rPr>
        <w:t>The IMSR Core-unit is designed to be fabricated in a quality-controlled factory-based manufacturing environment and transported to IMSR Plant site for installation in its standardized operating silo. At the end of each seven-year cycle, the now-spent IMSR Core-unit is replaced with a new one. IMSR Fuel Salt from each spent IMSR Core-unit is partially reused in the subsequent IMSR Core-unit and the remainder is removed and stored in a spent fuel vault inside the plant’s nuclear containment structure until decommissioning of the IMSR Plant. Each spent IMSR Core-unit, emptied of IMSR Fuel Salt, is stored in a separate and secure IMSR Core-unit Storage Silo within the Nuclear Facility, where it will remain until decommissioning of the IMSR Plant.</w:t>
      </w:r>
    </w:p>
    <w:p>
      <w:pPr>
        <w:spacing w:after="0" w:line="177" w:lineRule="exact"/>
        <w:rPr>
          <w:sz w:val="20"/>
          <w:szCs w:val="20"/>
          <w:color w:val="auto"/>
        </w:rPr>
      </w:pPr>
    </w:p>
    <w:p>
      <w:pPr>
        <w:ind w:left="40" w:right="279" w:firstLine="627"/>
        <w:spacing w:after="0" w:line="269" w:lineRule="auto"/>
        <w:rPr>
          <w:sz w:val="20"/>
          <w:szCs w:val="20"/>
          <w:color w:val="auto"/>
        </w:rPr>
      </w:pPr>
      <w:r>
        <w:rPr>
          <w:rFonts w:ascii="Times New Roman" w:cs="Times New Roman" w:eastAsia="Times New Roman" w:hAnsi="Times New Roman"/>
          <w:sz w:val="17"/>
          <w:szCs w:val="17"/>
          <w:color w:val="auto"/>
        </w:rPr>
        <w:t>As a result of the IMSR Plant’s distinct operating characteristics, we believe that it will offer improved affordability and cost-competitiveness of nuclear energy supply relative to new nuclear plants built with legacy and other Gen IV nuclear technologies, and in doing so, address the economic obstacles to the deployment of new nuclear plant and the expansion of nuclear supply to meet demand.</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4" w:lineRule="exact"/>
        <w:rPr>
          <w:sz w:val="20"/>
          <w:szCs w:val="20"/>
          <w:color w:val="auto"/>
        </w:rPr>
      </w:pPr>
    </w:p>
    <w:p>
      <w:pPr>
        <w:ind w:left="40" w:right="99" w:firstLine="627"/>
        <w:spacing w:after="0" w:line="264" w:lineRule="auto"/>
        <w:rPr>
          <w:sz w:val="20"/>
          <w:szCs w:val="20"/>
          <w:color w:val="auto"/>
        </w:rPr>
      </w:pPr>
      <w:r>
        <w:rPr>
          <w:rFonts w:ascii="Times New Roman" w:cs="Times New Roman" w:eastAsia="Times New Roman" w:hAnsi="Times New Roman"/>
          <w:sz w:val="17"/>
          <w:szCs w:val="17"/>
          <w:color w:val="auto"/>
        </w:rPr>
        <w:t>The MSR was invented in the 1950’s and its key innovation — the nuclear fuel and coolant combined into single molten salt eutectic — was successfully demonstrated by a graphite moderated thermal spectrum MSR in the 1960s at the U.S. Department of Energy’s Oak Ridge National Laboratory and subsequently improved upon. However, the long-standing design challenge to commercialization of a graphite moderated thermal spectrum MSR remained graphite’s limited lifetime in the reactor core operating at the high-power densities of commercial power reactor, and the high complexity and challenging safety requirements of maintenance protocols for its replacement along with other primary reactor components during plant operation.</w:t>
      </w:r>
    </w:p>
    <w:p>
      <w:pPr>
        <w:spacing w:after="0" w:line="172" w:lineRule="exact"/>
        <w:rPr>
          <w:sz w:val="20"/>
          <w:szCs w:val="20"/>
          <w:color w:val="auto"/>
        </w:rPr>
      </w:pPr>
    </w:p>
    <w:p>
      <w:pPr>
        <w:ind w:left="40" w:right="199" w:firstLine="627"/>
        <w:spacing w:after="0" w:line="264" w:lineRule="auto"/>
        <w:rPr>
          <w:sz w:val="20"/>
          <w:szCs w:val="20"/>
          <w:color w:val="auto"/>
        </w:rPr>
      </w:pPr>
      <w:r>
        <w:rPr>
          <w:rFonts w:ascii="Times New Roman" w:cs="Times New Roman" w:eastAsia="Times New Roman" w:hAnsi="Times New Roman"/>
          <w:sz w:val="17"/>
          <w:szCs w:val="17"/>
          <w:color w:val="auto"/>
        </w:rPr>
        <w:t>The Company’s key MSR innovation, which solves for this maintenance challenge, is the IMSR Core-unit. This component integrates the primary reactor systems (for example the reactor vessel, graphite moderator, primary molten salt pumps and primary heat exchangers) into a swappable and replaceable reactor module. We believe the swappable and replaceable IMSR Core-unit design addresses not only the limited lifetimes of all primary reactor system components, include the graphite moderator, but does so with a simpler and safer maintenance protocol and enables the high reactor power density and high plant capacity factors necessary for capital efficiency and successful commercial use.</w:t>
      </w:r>
    </w:p>
    <w:p>
      <w:pPr>
        <w:spacing w:after="0" w:line="172" w:lineRule="exact"/>
        <w:rPr>
          <w:sz w:val="20"/>
          <w:szCs w:val="20"/>
          <w:color w:val="auto"/>
        </w:rPr>
      </w:pPr>
    </w:p>
    <w:p>
      <w:pPr>
        <w:ind w:left="40" w:right="219" w:firstLine="627"/>
        <w:spacing w:after="0" w:line="265" w:lineRule="auto"/>
        <w:rPr>
          <w:sz w:val="20"/>
          <w:szCs w:val="20"/>
          <w:color w:val="auto"/>
        </w:rPr>
      </w:pPr>
      <w:r>
        <w:rPr>
          <w:rFonts w:ascii="Times New Roman" w:cs="Times New Roman" w:eastAsia="Times New Roman" w:hAnsi="Times New Roman"/>
          <w:sz w:val="17"/>
          <w:szCs w:val="17"/>
          <w:color w:val="auto"/>
        </w:rPr>
        <w:t>Our intellectual property strategy is designed to establish and maintain a defensible portfolio of patents, trademarks, trade secrets, and proprietary know-how related to the IMSR Plant and its key systems and components, including the IMSR Core-unit. This strategy is designed to safeguard our technological leadership and support our business objectives. We seek to protect key innovations through targeted patent filings in jurisdictions primary to our business and regulatory strategy, including the United States, Canada, the European Union, China, and Japan. Our IP protections cover the IMSR Core-unit innovation.</w:t>
      </w:r>
    </w:p>
    <w:p>
      <w:pPr>
        <w:spacing w:after="0" w:line="383" w:lineRule="exact"/>
        <w:rPr>
          <w:sz w:val="20"/>
          <w:szCs w:val="20"/>
          <w:color w:val="auto"/>
        </w:rPr>
      </w:pPr>
    </w:p>
    <w:p>
      <w:pPr>
        <w:ind w:left="40" w:right="139" w:firstLine="627"/>
        <w:spacing w:after="0" w:line="269" w:lineRule="auto"/>
        <w:rPr>
          <w:sz w:val="20"/>
          <w:szCs w:val="20"/>
          <w:color w:val="auto"/>
        </w:rPr>
      </w:pPr>
      <w:r>
        <w:rPr>
          <w:rFonts w:ascii="Times New Roman" w:cs="Times New Roman" w:eastAsia="Times New Roman" w:hAnsi="Times New Roman"/>
          <w:sz w:val="17"/>
          <w:szCs w:val="17"/>
          <w:color w:val="auto"/>
        </w:rPr>
        <w:t>We currently have approximately 90 patents granted or pending across six invention families, of which approximately 84 are granted, 5 pending, and 8 are Patent Cooperation Treaty applications. These patents include both broad and narrow claims that collectively create significant barriers to entry around the IMSR technology, which may discourage or prevent replication of our technology by competitors.</w:t>
      </w:r>
    </w:p>
    <w:p>
      <w:pPr>
        <w:spacing w:after="0" w:line="168" w:lineRule="exact"/>
        <w:rPr>
          <w:sz w:val="20"/>
          <w:szCs w:val="20"/>
          <w:color w:val="auto"/>
        </w:rPr>
      </w:pPr>
    </w:p>
    <w:p>
      <w:pPr>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Our patented technology is distinct from MSR technology in the public domain. While we have built on public domain MSR research, other developers are employing public domain MSR technology in different ways, creating different MSR designs. During the tenor of our patents, we believe that these developers will have to find alternative solutions to the operational maintenance challenges from limited materials’ lifetimes of MSRs that our IMSR addresses in the jurisdictions where we benefit from that patent protection. We are not presently aware of infringing technologies.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0" w:right="179" w:firstLine="627"/>
        <w:spacing w:after="0" w:line="275" w:lineRule="auto"/>
        <w:rPr>
          <w:sz w:val="20"/>
          <w:szCs w:val="20"/>
          <w:color w:val="auto"/>
        </w:rPr>
      </w:pPr>
      <w:r>
        <w:rPr>
          <w:rFonts w:ascii="Times New Roman" w:cs="Times New Roman" w:eastAsia="Times New Roman" w:hAnsi="Times New Roman"/>
          <w:sz w:val="17"/>
          <w:szCs w:val="17"/>
          <w:color w:val="auto"/>
        </w:rPr>
        <w:t>Accordingly, our IMSR technology is proprietary and not available for public use, and we will license it in the course of our operations to the extent commercially necessary to owners and operators of IMSR Plants. We do not license our IMSR technology from third parties; it is our proprietary design.</w:t>
      </w:r>
    </w:p>
    <w:p>
      <w:pPr>
        <w:spacing w:after="0" w:line="163" w:lineRule="exact"/>
        <w:rPr>
          <w:sz w:val="20"/>
          <w:szCs w:val="20"/>
          <w:color w:val="auto"/>
        </w:rPr>
      </w:pPr>
    </w:p>
    <w:p>
      <w:pPr>
        <w:ind w:left="40" w:right="159" w:firstLine="627"/>
        <w:spacing w:after="0" w:line="261" w:lineRule="auto"/>
        <w:rPr>
          <w:sz w:val="20"/>
          <w:szCs w:val="20"/>
          <w:color w:val="auto"/>
        </w:rPr>
      </w:pPr>
      <w:r>
        <w:rPr>
          <w:rFonts w:ascii="Times New Roman" w:cs="Times New Roman" w:eastAsia="Times New Roman" w:hAnsi="Times New Roman"/>
          <w:sz w:val="17"/>
          <w:szCs w:val="17"/>
          <w:color w:val="auto"/>
        </w:rPr>
        <w:t>Our patent families cover innovations such as: the IMSR Core-unit with multiple independent heat exchangers for redundancy and safety in operation; neutron fluence control; pneumatic motor assemblies; a nuclear core design; thermal storage; and method patents. U.S. Patents and descriptions in these extended families are (i) Integral molten salt reactor (US 10056160), (ii) Pneumatic Motor Assembly, Flow Induction System Using Same And Method Of Operating A Pneumatic Motor Assembly (US 2018/0258829), (iii) Molten salt nuclear reactor (US 2014/0023172), (iv) Cooling system for nuclear reactor (US 2022/0375635), (v) Power Plant system (US 11756696), (vi) Molten Salt Nuclear Reactor (US 11,200,991). Filing dates of patents granted or in the process of prosecution range from 2013 to 2023, with and the correlative expiry dates are accordingly 2033 to 2043.</w:t>
      </w:r>
    </w:p>
    <w:p>
      <w:pPr>
        <w:spacing w:after="0" w:line="179" w:lineRule="exact"/>
        <w:rPr>
          <w:sz w:val="20"/>
          <w:szCs w:val="20"/>
          <w:color w:val="auto"/>
        </w:rPr>
      </w:pPr>
    </w:p>
    <w:p>
      <w:pPr>
        <w:jc w:val="both"/>
        <w:ind w:left="40" w:right="299" w:firstLine="627"/>
        <w:spacing w:after="0" w:line="275" w:lineRule="auto"/>
        <w:rPr>
          <w:sz w:val="20"/>
          <w:szCs w:val="20"/>
          <w:color w:val="auto"/>
        </w:rPr>
      </w:pPr>
      <w:r>
        <w:rPr>
          <w:rFonts w:ascii="Times New Roman" w:cs="Times New Roman" w:eastAsia="Times New Roman" w:hAnsi="Times New Roman"/>
          <w:sz w:val="17"/>
          <w:szCs w:val="17"/>
          <w:color w:val="auto"/>
        </w:rPr>
        <w:t>We also generally maintain trade secrets for design and engineering elements where disclosure is not commercially advantageous and regularly evaluate this balance. The trademark “IMSR” is registered in Canada and the UK and used as an unregistered mark in the United States.</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Commercialization Pathway</w:t>
      </w:r>
    </w:p>
    <w:p>
      <w:pPr>
        <w:spacing w:after="0" w:line="224" w:lineRule="exact"/>
        <w:rPr>
          <w:sz w:val="20"/>
          <w:szCs w:val="20"/>
          <w:color w:val="auto"/>
        </w:rPr>
      </w:pPr>
    </w:p>
    <w:p>
      <w:pPr>
        <w:ind w:left="40" w:right="299" w:firstLine="627"/>
        <w:spacing w:after="0" w:line="264" w:lineRule="auto"/>
        <w:rPr>
          <w:sz w:val="20"/>
          <w:szCs w:val="20"/>
          <w:color w:val="auto"/>
        </w:rPr>
      </w:pPr>
      <w:r>
        <w:rPr>
          <w:rFonts w:ascii="Times New Roman" w:cs="Times New Roman" w:eastAsia="Times New Roman" w:hAnsi="Times New Roman"/>
          <w:sz w:val="17"/>
          <w:szCs w:val="17"/>
          <w:color w:val="auto"/>
        </w:rPr>
        <w:t>In response to evolving market demand for our IMSR Plant, we have a pipeline of over ten early-stage IMSR Plant projects each at an identified site. We play an active role in the establishment of each project and its member consortium. An IMSR Plant project is established with an initial consortium of members, and each includes one or more of off-takers, site owners, nuclear plant operators, and suppliers expressing interest in the project with MOU and LOI. Our portfolio of early-stage projects covers a range of industrial sectors such as mining, chemical and petrochemical production, data centers, and grid power provision.</w:t>
      </w:r>
    </w:p>
    <w:p>
      <w:pPr>
        <w:spacing w:after="0" w:line="172" w:lineRule="exact"/>
        <w:rPr>
          <w:sz w:val="20"/>
          <w:szCs w:val="20"/>
          <w:color w:val="auto"/>
        </w:rPr>
      </w:pPr>
    </w:p>
    <w:p>
      <w:pPr>
        <w:ind w:left="40" w:right="99" w:firstLine="627"/>
        <w:spacing w:after="0" w:line="261" w:lineRule="auto"/>
        <w:rPr>
          <w:sz w:val="20"/>
          <w:szCs w:val="20"/>
          <w:color w:val="auto"/>
        </w:rPr>
      </w:pPr>
      <w:r>
        <w:rPr>
          <w:rFonts w:ascii="Times New Roman" w:cs="Times New Roman" w:eastAsia="Times New Roman" w:hAnsi="Times New Roman"/>
          <w:sz w:val="17"/>
          <w:szCs w:val="17"/>
          <w:color w:val="auto"/>
        </w:rPr>
        <w:t>Our near-term project milestones include the completion of site characterization work, which is the antecedent to the project’s submission of a USNRC Construction Permit application. We establish a project’s initial consortium by drawing from our portfolio of over 50 collaborative industry relationships, where each such relationship has expressed an interest in our IMSR Plant and has undertaken investigations and due diligence. We expect these collaborative industry relationships to support the growth of our project pipeline with additional IMSR Plant projects. Illustrating this approach to IMSR Plant project development from the formation of its initial consortium, we have announced developments with consortia members and projects over the last 12 months with industrials, suppliers, research partners, and site owners, such with Schneider Electric, Zachry Group, Viaro Energy, Energy Solutions, Texas A&amp;M University and most recently Ameresco. To illustrate further, our Texas A&amp;M project consortium consists of an EPC, a nuclear utility, the site owner, a nuclear fuel supply, and other suppliers.</w:t>
      </w:r>
    </w:p>
    <w:p>
      <w:pPr>
        <w:spacing w:after="0" w:line="175" w:lineRule="exact"/>
        <w:rPr>
          <w:sz w:val="20"/>
          <w:szCs w:val="20"/>
          <w:color w:val="auto"/>
        </w:rPr>
      </w:pPr>
    </w:p>
    <w:p>
      <w:pPr>
        <w:ind w:left="40" w:right="119" w:firstLine="627"/>
        <w:spacing w:after="0" w:line="259" w:lineRule="auto"/>
        <w:rPr>
          <w:sz w:val="20"/>
          <w:szCs w:val="20"/>
          <w:color w:val="auto"/>
        </w:rPr>
      </w:pPr>
      <w:r>
        <w:rPr>
          <w:rFonts w:ascii="Times New Roman" w:cs="Times New Roman" w:eastAsia="Times New Roman" w:hAnsi="Times New Roman"/>
          <w:sz w:val="17"/>
          <w:szCs w:val="17"/>
          <w:color w:val="auto"/>
        </w:rPr>
        <w:t>Our Texas A&amp;M project is a collaboration with Texas A&amp;M University, a leading nuclear engineering and technology university in the U.S., to construct and operate a commercial IMSR Plant at its RELLIS campus in Bryan, Texas, as well as undertake IMSR system R&amp;D testing activities employing the expert resources of the university’s engineering facility. The IMSR Plant project at the RELLIS campus site with an attendant consortium was proposed by Terrestrial Energy following Texas A&amp;M University’s competitive RFP process in the third quarter of 2024. Terrestrial Energy was one of four companies selected by Texas A&amp;M in the fourth quarter of 2024 to collaborate with Texas A&amp;M on SMR projects at the RELLIS campus site. Terrestrial Energy and its project consortium partners intend to pursue licensing, construction, and operation of the IMSR Plant at the RELLIS campus site, subject to regulatory approvals and financing. This plant is intended to supply clean, firm power to the campus and to the ERCOT grid. Our collaboration with Texas A&amp;M University has the potential to accelerate our business plans and aligns with recent policy statements supporting commercialization of advanced nuclear technologies by the Trump Administration, and U.S. Federal and Texas state governments. As noted above, on August 12, 2025, the Company announced that it had been selected for the DOE’s Advanced Reactor Pilot Program, which we believe represents a significant milestone in Terrestrial Energy’s commercialization pathway, leveraging the program’s fast-track approach to advance the licensing and deployment of the Company’s proprietary IMSR technology.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Government support and financing</w:t>
      </w:r>
    </w:p>
    <w:p>
      <w:pPr>
        <w:spacing w:after="0" w:line="224" w:lineRule="exact"/>
        <w:rPr>
          <w:sz w:val="20"/>
          <w:szCs w:val="20"/>
          <w:color w:val="auto"/>
        </w:rPr>
      </w:pPr>
    </w:p>
    <w:p>
      <w:pPr>
        <w:ind w:left="40" w:right="299" w:firstLine="627"/>
        <w:spacing w:after="0" w:line="275" w:lineRule="auto"/>
        <w:rPr>
          <w:sz w:val="20"/>
          <w:szCs w:val="20"/>
          <w:color w:val="auto"/>
        </w:rPr>
      </w:pPr>
      <w:r>
        <w:rPr>
          <w:rFonts w:ascii="Times New Roman" w:cs="Times New Roman" w:eastAsia="Times New Roman" w:hAnsi="Times New Roman"/>
          <w:sz w:val="17"/>
          <w:szCs w:val="17"/>
          <w:color w:val="auto"/>
        </w:rPr>
        <w:t>The IMSR Plant development has benefitted from multiple grant awards totaling approximately $30 million in non-dilutive funding support from the governments of the United States, Canada, and the United Kingdom for licensing, engineering, and fuel supply activities.</w:t>
      </w:r>
    </w:p>
    <w:p>
      <w:pPr>
        <w:spacing w:after="0" w:line="163" w:lineRule="exact"/>
        <w:rPr>
          <w:sz w:val="20"/>
          <w:szCs w:val="20"/>
          <w:color w:val="auto"/>
        </w:rPr>
      </w:pPr>
    </w:p>
    <w:p>
      <w:pPr>
        <w:ind w:left="40" w:right="199" w:firstLine="627"/>
        <w:spacing w:after="0" w:line="269" w:lineRule="auto"/>
        <w:rPr>
          <w:sz w:val="20"/>
          <w:szCs w:val="20"/>
          <w:color w:val="auto"/>
        </w:rPr>
      </w:pPr>
      <w:r>
        <w:rPr>
          <w:rFonts w:ascii="Times New Roman" w:cs="Times New Roman" w:eastAsia="Times New Roman" w:hAnsi="Times New Roman"/>
          <w:sz w:val="17"/>
          <w:szCs w:val="17"/>
          <w:color w:val="auto"/>
        </w:rPr>
        <w:t>The U.S. Department of Energy’s Loan Programs Office (“LPO”) has accepted a loan guarantee application for up to $890 million to support project financing of an IMSR Plant in the United States. The application included a project plan and supporting technical, regulatory, and financial materials, in accordance with the LPO’s review requirements. As of the date of this filing, our application is under review with the LPO.</w:t>
      </w:r>
    </w:p>
    <w:p>
      <w:pPr>
        <w:spacing w:after="0" w:line="168" w:lineRule="exact"/>
        <w:rPr>
          <w:sz w:val="20"/>
          <w:szCs w:val="20"/>
          <w:color w:val="auto"/>
        </w:rPr>
      </w:pPr>
    </w:p>
    <w:p>
      <w:pPr>
        <w:ind w:left="40" w:right="419" w:firstLine="627"/>
        <w:spacing w:after="0" w:line="275" w:lineRule="auto"/>
        <w:rPr>
          <w:sz w:val="20"/>
          <w:szCs w:val="20"/>
          <w:color w:val="auto"/>
        </w:rPr>
      </w:pPr>
      <w:r>
        <w:rPr>
          <w:rFonts w:ascii="Times New Roman" w:cs="Times New Roman" w:eastAsia="Times New Roman" w:hAnsi="Times New Roman"/>
          <w:sz w:val="17"/>
          <w:szCs w:val="17"/>
          <w:color w:val="auto"/>
        </w:rPr>
        <w:t>If approved, the loan guarantee may help reduce project financing risk, enhance investor confidence, and improve project viability. However, acceptance of an application does not imply regulatory approval or project endorsement. Furthermore, no assurance can be given that such funding will be approved or disbursed.</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Competition</w:t>
      </w:r>
    </w:p>
    <w:p>
      <w:pPr>
        <w:spacing w:after="0" w:line="224"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Our competitors are other electricity and thermal generation technologies, including those used for traditional baseload electricity and industrial thermal power production. They include fossil fuels, renewables such as hydroelectric, wind and solar with storage, and other nuclear technologies. We believe our competitive strengths differentiate us from our competition.</w:t>
      </w:r>
    </w:p>
    <w:p>
      <w:pPr>
        <w:spacing w:after="0" w:line="161" w:lineRule="exact"/>
        <w:rPr>
          <w:sz w:val="20"/>
          <w:szCs w:val="20"/>
          <w:color w:val="auto"/>
        </w:rPr>
      </w:pPr>
    </w:p>
    <w:p>
      <w:pPr>
        <w:ind w:left="40" w:right="79" w:firstLine="627"/>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Traditional Baseload. </w:t>
      </w:r>
      <w:r>
        <w:rPr>
          <w:rFonts w:ascii="Times New Roman" w:cs="Times New Roman" w:eastAsia="Times New Roman" w:hAnsi="Times New Roman"/>
          <w:sz w:val="17"/>
          <w:szCs w:val="17"/>
          <w:color w:val="auto"/>
        </w:rPr>
        <w:t>According to the U.S. Energy Information Agency’s (“EIA”) International Energy Outlook,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83% of global primary energy demand (and approximately 66% of global electricity generation) was forecasted to be met by coal, natural gas, petroleum, and large-scale nuclear in 2025. These technologies are highly reliable, cost-effective, dispatchable and land-use efficient. However, except for traditional large-scale nuclear, these resources are carbon-intensive, and we expect them to largely be replaced with carbon-free generation over time. Traditional large-scale nuclear power plants, while carbon-free, require significant upfront capital expenditures, have a history of extensive construction times, complex safety systems and do not have viable business cases apart from utility-scale generation. We believe our IMSR Plant contain all of the positive attributes of traditional baseload and addresses many of the commercial limitations of legacy nuclear power plants.</w:t>
      </w:r>
    </w:p>
    <w:p>
      <w:pPr>
        <w:spacing w:after="0" w:line="388" w:lineRule="exact"/>
        <w:rPr>
          <w:sz w:val="20"/>
          <w:szCs w:val="20"/>
          <w:color w:val="auto"/>
        </w:rPr>
      </w:pPr>
    </w:p>
    <w:p>
      <w:pPr>
        <w:ind w:left="40" w:right="119" w:firstLine="627"/>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Industrial Thermal Power Production. </w:t>
      </w:r>
      <w:r>
        <w:rPr>
          <w:rFonts w:ascii="Times New Roman" w:cs="Times New Roman" w:eastAsia="Times New Roman" w:hAnsi="Times New Roman"/>
          <w:sz w:val="17"/>
          <w:szCs w:val="17"/>
          <w:color w:val="auto"/>
        </w:rPr>
        <w:t>At present there is no viable source of industrial thermal power production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from the combustion of fossil fuels. Such methods are carbon intensive and subject to the commercial risk of commodity price volatility. We believe our IMSR Plant offers a valuable solution to many customers seeking low-carbon intensity industrial heat production to maintain their businesses.</w:t>
      </w:r>
    </w:p>
    <w:p>
      <w:pPr>
        <w:spacing w:after="0" w:line="165" w:lineRule="exact"/>
        <w:rPr>
          <w:sz w:val="20"/>
          <w:szCs w:val="20"/>
          <w:color w:val="auto"/>
        </w:rPr>
      </w:pPr>
    </w:p>
    <w:p>
      <w:pPr>
        <w:ind w:left="40" w:right="299"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Renewables. </w:t>
      </w:r>
      <w:r>
        <w:rPr>
          <w:rFonts w:ascii="Times New Roman" w:cs="Times New Roman" w:eastAsia="Times New Roman" w:hAnsi="Times New Roman"/>
          <w:sz w:val="17"/>
          <w:szCs w:val="17"/>
          <w:color w:val="auto"/>
        </w:rPr>
        <w:t>According to the EIA’s International Energy Outlook, approximately 17% of global primary energy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demand in 2025 was forecasted to come from renewable power generation sources. Although these sources generate carbon-free power, wind and solar are highly intermittent and non-dispatchable, and hydroelectric is often seasonal and subject to curtailment. Additionally, since renewables are weather-dependent, they are too unreliable to support certain end-use cases, including mission-critical applications or industrial applications that require extensive on-site, always-available power.</w:t>
      </w:r>
    </w:p>
    <w:p>
      <w:pPr>
        <w:spacing w:after="0" w:line="170" w:lineRule="exact"/>
        <w:rPr>
          <w:sz w:val="20"/>
          <w:szCs w:val="20"/>
          <w:color w:val="auto"/>
        </w:rPr>
      </w:pPr>
    </w:p>
    <w:p>
      <w:pPr>
        <w:ind w:left="40" w:right="99"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Legacy Nuclear Technology. </w:t>
      </w:r>
      <w:r>
        <w:rPr>
          <w:rFonts w:ascii="Times New Roman" w:cs="Times New Roman" w:eastAsia="Times New Roman" w:hAnsi="Times New Roman"/>
          <w:sz w:val="17"/>
          <w:szCs w:val="17"/>
          <w:color w:val="auto"/>
        </w:rPr>
        <w:t>Legacy nuclear power plants face fundamental economic and technical constraints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limit their competitiveness in the current and future energy landscape. These plants are characterized by high capital costs, prolonged construction timelines, and low thermal and by extension capital efficiency, often resulting in levelized costs of electricity that are uncompetitive without significant public subsidy. As a result, we believe that new projects based on legacy nuclear technology are unlikely to be commercially viable on a standalone basis and are poorly suited to meet modern demands for distributed, flexible, and cost-effective clean energy.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199" w:firstLine="627"/>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Other Advanced Nuclear Reactors. </w:t>
      </w:r>
      <w:r>
        <w:rPr>
          <w:rFonts w:ascii="Times New Roman" w:cs="Times New Roman" w:eastAsia="Times New Roman" w:hAnsi="Times New Roman"/>
          <w:sz w:val="17"/>
          <w:szCs w:val="17"/>
          <w:color w:val="auto"/>
        </w:rPr>
        <w:t>There are a number of reactor technologies that are in various stages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such as high temperature gas reactors, sodium fast reactors, molten salt reactors, fusion technologies and others. These technologies, like ours, are designed to be clean, safe and highly reliable. However, the commercial operation of plant with these technologies has not received regulatory approval in the United States, and many of the technologies have not been commercially demonstrated nor have commercial scale fuel supply infrastructure.</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Facilities</w:t>
      </w:r>
    </w:p>
    <w:p>
      <w:pPr>
        <w:spacing w:after="0" w:line="224" w:lineRule="exact"/>
        <w:rPr>
          <w:sz w:val="20"/>
          <w:szCs w:val="20"/>
          <w:color w:val="auto"/>
        </w:rPr>
      </w:pPr>
    </w:p>
    <w:p>
      <w:pPr>
        <w:ind w:left="40" w:right="79" w:firstLine="627"/>
        <w:spacing w:after="0" w:line="269" w:lineRule="auto"/>
        <w:rPr>
          <w:sz w:val="20"/>
          <w:szCs w:val="20"/>
          <w:color w:val="auto"/>
        </w:rPr>
      </w:pPr>
      <w:r>
        <w:rPr>
          <w:rFonts w:ascii="Times New Roman" w:cs="Times New Roman" w:eastAsia="Times New Roman" w:hAnsi="Times New Roman"/>
          <w:sz w:val="17"/>
          <w:szCs w:val="17"/>
          <w:color w:val="auto"/>
        </w:rPr>
        <w:t>We have offices in Charlotte, North Carolina and Oakville, Ontario. Our office in Charlotte is our corporate headquarters and consists of office space for our executives and to expand our U.S. engineering, operations, sales and corporate functions. We expect our office in Oakville will continue to provide engineering and R&amp;D support as well as expertise relevant for developing Canada IMSR Plant projects.</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Export Controls</w:t>
      </w:r>
    </w:p>
    <w:p>
      <w:pPr>
        <w:spacing w:after="0" w:line="224" w:lineRule="exact"/>
        <w:rPr>
          <w:sz w:val="20"/>
          <w:szCs w:val="20"/>
          <w:color w:val="auto"/>
        </w:rPr>
      </w:pPr>
    </w:p>
    <w:p>
      <w:pPr>
        <w:ind w:left="40" w:right="339" w:firstLine="627"/>
        <w:spacing w:after="0" w:line="266" w:lineRule="auto"/>
        <w:rPr>
          <w:sz w:val="20"/>
          <w:szCs w:val="20"/>
          <w:color w:val="auto"/>
        </w:rPr>
      </w:pPr>
      <w:r>
        <w:rPr>
          <w:rFonts w:ascii="Times New Roman" w:cs="Times New Roman" w:eastAsia="Times New Roman" w:hAnsi="Times New Roman"/>
          <w:sz w:val="17"/>
          <w:szCs w:val="17"/>
          <w:color w:val="auto"/>
        </w:rPr>
        <w:t>Our business is or will be subject to, and complies with or will comply with, U.S. and Canadian nuclear export and import control regimes. We are required to comply with stringent regulations administered by the DOE, the USNRC, the Bureau of Industry and Security within the U.S. Department of Commerce (“BIS”), and the CNSC. These regulations are designed to protect national security, advance foreign policy and non-proliferation objectives, and control the transfer of nuclear-related materials, technology, and services.</w:t>
      </w:r>
    </w:p>
    <w:p>
      <w:pPr>
        <w:spacing w:after="0" w:line="170" w:lineRule="exact"/>
        <w:rPr>
          <w:sz w:val="20"/>
          <w:szCs w:val="20"/>
          <w:color w:val="auto"/>
        </w:rPr>
      </w:pPr>
    </w:p>
    <w:p>
      <w:pPr>
        <w:ind w:left="40" w:right="199" w:firstLine="627"/>
        <w:spacing w:after="0" w:line="266" w:lineRule="auto"/>
        <w:rPr>
          <w:sz w:val="20"/>
          <w:szCs w:val="20"/>
          <w:color w:val="auto"/>
        </w:rPr>
      </w:pPr>
      <w:r>
        <w:rPr>
          <w:rFonts w:ascii="Times New Roman" w:cs="Times New Roman" w:eastAsia="Times New Roman" w:hAnsi="Times New Roman"/>
          <w:sz w:val="17"/>
          <w:szCs w:val="17"/>
          <w:color w:val="auto"/>
        </w:rPr>
        <w:t>Under DOE regulations at 10 C.F.R. Part 810, the export of certain nuclear-related technology and the provision of technical assistance by U.S. persons to foreign nuclear programs require prior authorization or reporting. These controls apply to a broad range of technical exchanges and commercial activities, including design, engineering, consulting, and training services associated with nuclear reactor technology. Not all exports require a license; for example, exports of Part 810-controlled technology to Canada are only subject to reporting requirements.</w:t>
      </w:r>
    </w:p>
    <w:p>
      <w:pPr>
        <w:spacing w:after="0" w:line="170" w:lineRule="exact"/>
        <w:rPr>
          <w:sz w:val="20"/>
          <w:szCs w:val="20"/>
          <w:color w:val="auto"/>
        </w:rPr>
      </w:pPr>
    </w:p>
    <w:p>
      <w:pPr>
        <w:ind w:left="40" w:right="99" w:firstLine="627"/>
        <w:spacing w:after="0" w:line="261" w:lineRule="auto"/>
        <w:rPr>
          <w:sz w:val="20"/>
          <w:szCs w:val="20"/>
          <w:color w:val="auto"/>
        </w:rPr>
      </w:pPr>
      <w:r>
        <w:rPr>
          <w:rFonts w:ascii="Times New Roman" w:cs="Times New Roman" w:eastAsia="Times New Roman" w:hAnsi="Times New Roman"/>
          <w:sz w:val="17"/>
          <w:szCs w:val="17"/>
          <w:color w:val="auto"/>
        </w:rPr>
        <w:t>The USNRC regulates the physical export and import of nuclear materials and equipment under 10 C.F.R. Part 110, including reactor components, source and special nuclear material, and related commodities. Exports may require specific licenses depending on the destination country and nature of the item; exports of major nuclear equipment and nuclear material from the U.S. also require there to be a bilateral nuclear cooperation agreement (known as a “123 Agreement”) between the United States and the end-user country before the export license can be granted. As of July 11, 2025, the United States has twenty-five (25) 123 Agreements in force. These agreements cover 48 countries, as well as the IAEA and Taiwan. All of our current markets are covered by Section 123 Agreements. Further, exports of minor reactor items are subject to a general license and don’t require advance approval from the USNRC.</w:t>
      </w:r>
    </w:p>
    <w:p>
      <w:pPr>
        <w:spacing w:after="0" w:line="179" w:lineRule="exact"/>
        <w:rPr>
          <w:sz w:val="20"/>
          <w:szCs w:val="20"/>
          <w:color w:val="auto"/>
        </w:rPr>
      </w:pPr>
    </w:p>
    <w:p>
      <w:pPr>
        <w:ind w:left="40" w:right="219" w:firstLine="627"/>
        <w:spacing w:after="0" w:line="269" w:lineRule="auto"/>
        <w:rPr>
          <w:sz w:val="20"/>
          <w:szCs w:val="20"/>
          <w:color w:val="auto"/>
        </w:rPr>
      </w:pPr>
      <w:r>
        <w:rPr>
          <w:rFonts w:ascii="Times New Roman" w:cs="Times New Roman" w:eastAsia="Times New Roman" w:hAnsi="Times New Roman"/>
          <w:sz w:val="17"/>
          <w:szCs w:val="17"/>
          <w:color w:val="auto"/>
        </w:rPr>
        <w:t>The BIS, through its Export Administration Regulations (“EAR”), oversees the export of “dual-use” items — goods and technologies that have both civilian and military or strategic applications. Certain components, software, and supporting technologies related to nuclear operations may fall under EAR controls depending on their classification and end use. Exports of IMSR items subject to the EAR generally don’t require a license from the BIS.</w:t>
      </w:r>
    </w:p>
    <w:p>
      <w:pPr>
        <w:spacing w:after="0" w:line="168" w:lineRule="exact"/>
        <w:rPr>
          <w:sz w:val="20"/>
          <w:szCs w:val="20"/>
          <w:color w:val="auto"/>
        </w:rPr>
      </w:pPr>
    </w:p>
    <w:p>
      <w:pPr>
        <w:ind w:left="40" w:right="179" w:firstLine="627"/>
        <w:spacing w:after="0" w:line="266" w:lineRule="auto"/>
        <w:rPr>
          <w:sz w:val="20"/>
          <w:szCs w:val="20"/>
          <w:color w:val="auto"/>
        </w:rPr>
      </w:pPr>
      <w:r>
        <w:rPr>
          <w:rFonts w:ascii="Times New Roman" w:cs="Times New Roman" w:eastAsia="Times New Roman" w:hAnsi="Times New Roman"/>
          <w:sz w:val="17"/>
          <w:szCs w:val="17"/>
          <w:color w:val="auto"/>
        </w:rPr>
        <w:t>In Canada, the CNSC administers export and import licenses under the Nuclear Non-Proliferation Import and Export Control Regulations (‘NNIECR”). These regulations control the cross-border transfer of nuclear and nuclear-related dual-use items, including reactor technologies, fuel cycle components, and technical data. Exports from Canada may require CNSC authorization if destined for countries outside of Canada, including the United States, depending on the item and its strategic classification. Licenses are typically issued within 15 business days.</w:t>
      </w:r>
    </w:p>
    <w:p>
      <w:pPr>
        <w:spacing w:after="0" w:line="170" w:lineRule="exact"/>
        <w:rPr>
          <w:sz w:val="20"/>
          <w:szCs w:val="20"/>
          <w:color w:val="auto"/>
        </w:rPr>
      </w:pPr>
    </w:p>
    <w:p>
      <w:pPr>
        <w:ind w:left="40" w:right="99" w:firstLine="627"/>
        <w:spacing w:after="0" w:line="266" w:lineRule="auto"/>
        <w:rPr>
          <w:sz w:val="20"/>
          <w:szCs w:val="20"/>
          <w:color w:val="auto"/>
        </w:rPr>
      </w:pPr>
      <w:r>
        <w:rPr>
          <w:rFonts w:ascii="Times New Roman" w:cs="Times New Roman" w:eastAsia="Times New Roman" w:hAnsi="Times New Roman"/>
          <w:sz w:val="17"/>
          <w:szCs w:val="17"/>
          <w:color w:val="auto"/>
        </w:rPr>
        <w:t>Collectively, these export and import control frameworks impose compliance obligations on our business operations. The U.S. government agencies responsible for administering the nuclear export control regulations have a degree of discretion interpreting and enforcing these regulations. These agencies also have significant discretion in approving, denying, or instituting specific conditions regarding authorizations to engage in controlled activities. However, as noted above, many of the exports related to the IMSR in our target market will not require specific licenses.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99" w:firstLine="627"/>
        <w:spacing w:after="0" w:line="262" w:lineRule="auto"/>
        <w:rPr>
          <w:sz w:val="20"/>
          <w:szCs w:val="20"/>
          <w:color w:val="auto"/>
        </w:rPr>
      </w:pPr>
      <w:r>
        <w:rPr>
          <w:rFonts w:ascii="Times New Roman" w:cs="Times New Roman" w:eastAsia="Times New Roman" w:hAnsi="Times New Roman"/>
          <w:sz w:val="17"/>
          <w:szCs w:val="17"/>
          <w:color w:val="auto"/>
        </w:rPr>
        <w:t>We have IMSR technology and proprietary technology information that was developed and is owned by our Canadian subsidiary; this information is subject to CNSC export control of nuclear technology. It includes elements of the IMSR Plant design that was submitted to the CNSC for its VDR of the IMSR Plant. We have obtained requisite export licenses when required from the CNSC to export this technology including its export to our U.S.-domesticated company. We anticipate that our U.S. operation will provide a substantial part of the remaining engineering work to complete of the IMSR design for U.S. and export market deployment. We have also reported to the DOE the export of nuclear technology to our Canadian operations, which was generated from our U.S. activities and engagements with U.S. laboratories for R&amp;D and testing of IMSR nuclear systems.</w:t>
      </w:r>
    </w:p>
    <w:p>
      <w:pPr>
        <w:spacing w:after="0" w:line="386" w:lineRule="exact"/>
        <w:rPr>
          <w:sz w:val="20"/>
          <w:szCs w:val="20"/>
          <w:color w:val="auto"/>
        </w:rPr>
      </w:pPr>
    </w:p>
    <w:p>
      <w:pPr>
        <w:ind w:left="40" w:right="99" w:firstLine="627"/>
        <w:spacing w:after="0" w:line="265" w:lineRule="auto"/>
        <w:rPr>
          <w:sz w:val="20"/>
          <w:szCs w:val="20"/>
          <w:color w:val="auto"/>
        </w:rPr>
      </w:pPr>
      <w:r>
        <w:rPr>
          <w:rFonts w:ascii="Times New Roman" w:cs="Times New Roman" w:eastAsia="Times New Roman" w:hAnsi="Times New Roman"/>
          <w:sz w:val="17"/>
          <w:szCs w:val="17"/>
          <w:color w:val="auto"/>
        </w:rPr>
        <w:t>Collectively, these export and import control frameworks impose extensive compliance obligations on our business operations. As we pursue international commercial opportunities for our IMSR Plant and engage with cross-border development partners, we will continue to maintain internal policies and compliance mechanisms designed to ensure adherence to all applicable regulatory requirements. Our ability to obtain and maintain the necessary authorizations from the DOE, USNRC, CNSC, and other regulatory bodies may impact the timing and scope of our commercialization efforts in various jurisdictions.</w:t>
      </w:r>
    </w:p>
    <w:p>
      <w:pPr>
        <w:spacing w:after="0" w:line="3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Human Capital</w:t>
      </w:r>
    </w:p>
    <w:p>
      <w:pPr>
        <w:spacing w:after="0" w:line="224" w:lineRule="exact"/>
        <w:rPr>
          <w:sz w:val="20"/>
          <w:szCs w:val="20"/>
          <w:color w:val="auto"/>
        </w:rPr>
      </w:pPr>
    </w:p>
    <w:p>
      <w:pPr>
        <w:ind w:left="40" w:right="99" w:firstLine="627"/>
        <w:spacing w:after="0" w:line="269" w:lineRule="auto"/>
        <w:rPr>
          <w:sz w:val="20"/>
          <w:szCs w:val="20"/>
          <w:color w:val="auto"/>
        </w:rPr>
      </w:pPr>
      <w:r>
        <w:rPr>
          <w:rFonts w:ascii="Times New Roman" w:cs="Times New Roman" w:eastAsia="Times New Roman" w:hAnsi="Times New Roman"/>
          <w:sz w:val="17"/>
          <w:szCs w:val="17"/>
          <w:color w:val="auto"/>
        </w:rPr>
        <w:t>As of December 31, 2025, we were headquartered in Charlotte, North Carolina and employed 74 full-time employees. The Company has a seasoned leadership team with extensive experience in the nuclear industry and adjacent industries. In managing our team, we focus on employee recruitment, retention, developing a pipeline of talent, and tracking progress against our performance objectives.</w:t>
      </w:r>
    </w:p>
    <w:p>
      <w:pPr>
        <w:spacing w:after="0" w:line="1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Available Information</w:t>
      </w:r>
    </w:p>
    <w:p>
      <w:pPr>
        <w:spacing w:after="0" w:line="224" w:lineRule="exact"/>
        <w:rPr>
          <w:sz w:val="20"/>
          <w:szCs w:val="20"/>
          <w:color w:val="auto"/>
        </w:rPr>
      </w:pPr>
    </w:p>
    <w:p>
      <w:pPr>
        <w:ind w:left="40" w:right="99" w:firstLine="627"/>
        <w:spacing w:after="0" w:line="259" w:lineRule="auto"/>
        <w:rPr>
          <w:sz w:val="20"/>
          <w:szCs w:val="20"/>
          <w:color w:val="auto"/>
        </w:rPr>
      </w:pPr>
      <w:r>
        <w:rPr>
          <w:rFonts w:ascii="Times New Roman" w:cs="Times New Roman" w:eastAsia="Times New Roman" w:hAnsi="Times New Roman"/>
          <w:sz w:val="17"/>
          <w:szCs w:val="17"/>
          <w:color w:val="auto"/>
        </w:rPr>
        <w:t xml:space="preserve">We were originally a special purpose acquisition company incorporated on April 4, 2024, as a Cayman Islands exempted corporation whose business purpose was to effect a merger, capital stock exchange, asset acquisition, stock purchase, reorganization, or similar business combination with one or more businesses. On October 23, 2025, we domesticated into a Delaware corporation and changed our name to “Terrestrial Energy Inc.” Our principal executive office is located at 2730 W. Tyvola Road, Suite 100, Charlotte, NC 28217. Our telephone number is (646) 687-8212. Our website address is </w:t>
      </w:r>
      <w:r>
        <w:rPr>
          <w:rFonts w:ascii="Times New Roman" w:cs="Times New Roman" w:eastAsia="Times New Roman" w:hAnsi="Times New Roman"/>
          <w:sz w:val="17"/>
          <w:szCs w:val="17"/>
          <w:i w:val="1"/>
          <w:iCs w:val="1"/>
          <w:color w:val="auto"/>
        </w:rPr>
        <w:t>https://www.terrestrialenergy.com/</w:t>
      </w:r>
      <w:r>
        <w:rPr>
          <w:rFonts w:ascii="Times New Roman" w:cs="Times New Roman" w:eastAsia="Times New Roman" w:hAnsi="Times New Roman"/>
          <w:sz w:val="17"/>
          <w:szCs w:val="17"/>
          <w:color w:val="auto"/>
        </w:rPr>
        <w:t>. Information contained on our website is not a part of this Form 10-K, and the inclusion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website address in this Form 10-K is an inactive textual reference only. Our Annual Report on Form 10-K, Quarterly Reports on Form 10-Q, Current Reports on Form 8-K, including exhibits, and amendments to those reports filed or furnished pursuant to Section 13(a) or 15(d) of the Securities Exchange Act of 1934 are available free of charge through the investor relations page of our Internet website as soon as reasonably practicable after we electronically file such material with, or furnish it to, the U.S. Securities and Exchange Commission (the “SEC”). Our Internet website and the information contained therein or connected thereto are not intended to be incorporated into this Annual Report on Form 10-K.</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2"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You should consider carefully the risks and uncertainties described below, together with all of the other information contained in this Annual Report on Form 10-K, before deciding to invest in our securities. If any of the following events occur, our business, financial condition and operating results may be materially adversely affected. In that event, the trading price of our securities could decline, and you could lose all or part of your investment. References to past events are provided by way of example only and are not intended to be a complete listing or a representation as to whether or not such factors have occurred in the past or their likelihood of occurring in the future.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224" w:lineRule="exact"/>
        <w:rPr>
          <w:sz w:val="20"/>
          <w:szCs w:val="20"/>
          <w:color w:val="auto"/>
        </w:rPr>
      </w:pPr>
    </w:p>
    <w:p>
      <w:pPr>
        <w:ind w:left="700" w:right="7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commercial operating history makes it difficult to evaluate our prospects, the risks and challenges we may encounter and our total potential addressable market.</w:t>
      </w:r>
    </w:p>
    <w:p>
      <w:pPr>
        <w:spacing w:after="0" w:line="146" w:lineRule="exact"/>
        <w:rPr>
          <w:rFonts w:ascii="Times New Roman" w:cs="Times New Roman" w:eastAsia="Times New Roman" w:hAnsi="Times New Roman"/>
          <w:sz w:val="17"/>
          <w:szCs w:val="17"/>
          <w:color w:val="auto"/>
        </w:rPr>
      </w:pPr>
    </w:p>
    <w:p>
      <w:pPr>
        <w:ind w:left="700" w:right="21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delays in the development and construction of our IMSR plants and the manufacturing of their key components may adversely impact our business and financial condition.</w:t>
      </w:r>
    </w:p>
    <w:p>
      <w:pPr>
        <w:spacing w:after="0" w:line="146" w:lineRule="exact"/>
        <w:rPr>
          <w:rFonts w:ascii="Times New Roman" w:cs="Times New Roman" w:eastAsia="Times New Roman" w:hAnsi="Times New Roman"/>
          <w:sz w:val="17"/>
          <w:szCs w:val="17"/>
          <w:color w:val="auto"/>
        </w:rPr>
      </w:pPr>
    </w:p>
    <w:p>
      <w:pPr>
        <w:ind w:left="700" w:right="19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growth effectively, we may be unable to execute our business plan, and our business, results of operations, and financial condition could be harmed.</w:t>
      </w:r>
    </w:p>
    <w:p>
      <w:pPr>
        <w:spacing w:after="0" w:line="146" w:lineRule="exact"/>
        <w:rPr>
          <w:rFonts w:ascii="Times New Roman" w:cs="Times New Roman" w:eastAsia="Times New Roman" w:hAnsi="Times New Roman"/>
          <w:sz w:val="17"/>
          <w:szCs w:val="17"/>
          <w:color w:val="auto"/>
        </w:rPr>
      </w:pPr>
    </w:p>
    <w:p>
      <w:pPr>
        <w:jc w:val="both"/>
        <w:ind w:left="700" w:right="19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effectively update the design, construction, and operations of our planned IMSR Plants to ensure cost competitiveness could reduce the marketability of our designs and has the potential to impact deployment schedules.</w:t>
      </w:r>
    </w:p>
    <w:p>
      <w:pPr>
        <w:spacing w:after="0" w:line="146" w:lineRule="exact"/>
        <w:rPr>
          <w:rFonts w:ascii="Times New Roman" w:cs="Times New Roman" w:eastAsia="Times New Roman" w:hAnsi="Times New Roman"/>
          <w:sz w:val="17"/>
          <w:szCs w:val="17"/>
          <w:color w:val="auto"/>
        </w:rPr>
      </w:pPr>
    </w:p>
    <w:p>
      <w:pPr>
        <w:ind w:left="700" w:right="21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commercialization of new, or further enhancements to existing, alternative low-carbon energy generation technologies may adversely affect the market demand for our IMSR Plants.</w:t>
      </w:r>
    </w:p>
    <w:p>
      <w:pPr>
        <w:spacing w:after="0" w:line="146" w:lineRule="exact"/>
        <w:rPr>
          <w:rFonts w:ascii="Times New Roman" w:cs="Times New Roman" w:eastAsia="Times New Roman" w:hAnsi="Times New Roman"/>
          <w:sz w:val="17"/>
          <w:szCs w:val="17"/>
          <w:color w:val="auto"/>
        </w:rPr>
      </w:pPr>
    </w:p>
    <w:p>
      <w:pPr>
        <w:ind w:left="700" w:right="25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demand for our IMSR Plants fails to develop sufficiently, our business and operations could suffer, and we would be unable to achieve or maintain profitability.</w:t>
      </w:r>
    </w:p>
    <w:p>
      <w:pPr>
        <w:spacing w:after="0" w:line="146"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IMSR Plant design may not attract customers as quickly as we expect, or at all.</w:t>
      </w:r>
    </w:p>
    <w:p>
      <w:pPr>
        <w:spacing w:after="0" w:line="222" w:lineRule="exact"/>
        <w:rPr>
          <w:rFonts w:ascii="Times New Roman" w:cs="Times New Roman" w:eastAsia="Times New Roman" w:hAnsi="Times New Roman"/>
          <w:sz w:val="17"/>
          <w:szCs w:val="17"/>
          <w:color w:val="auto"/>
        </w:rPr>
      </w:pPr>
    </w:p>
    <w:p>
      <w:pPr>
        <w:ind w:left="700" w:right="25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Customers may rescind or back out of non-binding agreements due to various reasons, which could adversely affect our revenue streams, project timelines, and overall financial performance.</w:t>
      </w:r>
    </w:p>
    <w:p>
      <w:pPr>
        <w:spacing w:after="0" w:line="146" w:lineRule="exact"/>
        <w:rPr>
          <w:rFonts w:ascii="Times New Roman" w:cs="Times New Roman" w:eastAsia="Times New Roman" w:hAnsi="Times New Roman"/>
          <w:sz w:val="17"/>
          <w:szCs w:val="17"/>
          <w:color w:val="auto"/>
        </w:rPr>
      </w:pPr>
    </w:p>
    <w:p>
      <w:pPr>
        <w:ind w:left="700" w:right="31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cost estimates are sensitive to broader economic factors, and our ability to control or manage our costs may be limited.</w:t>
      </w:r>
    </w:p>
    <w:p>
      <w:pPr>
        <w:spacing w:after="0" w:line="146" w:lineRule="exact"/>
        <w:rPr>
          <w:rFonts w:ascii="Times New Roman" w:cs="Times New Roman" w:eastAsia="Times New Roman" w:hAnsi="Times New Roman"/>
          <w:sz w:val="17"/>
          <w:szCs w:val="17"/>
          <w:color w:val="auto"/>
        </w:rPr>
      </w:pPr>
    </w:p>
    <w:p>
      <w:pPr>
        <w:jc w:val="both"/>
        <w:ind w:left="700" w:right="459" w:hanging="313"/>
        <w:spacing w:after="0" w:line="27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or new competitors or technologies domestically and internationally could cause us to experience one or more of downward pressures on prices, lower customer demand for our products and services, reduced margins, the inability to take advantage of new business opportunities and the loss of market share.</w:t>
      </w:r>
    </w:p>
    <w:p>
      <w:pPr>
        <w:spacing w:after="0" w:line="163" w:lineRule="exact"/>
        <w:rPr>
          <w:rFonts w:ascii="Times New Roman" w:cs="Times New Roman" w:eastAsia="Times New Roman" w:hAnsi="Times New Roman"/>
          <w:sz w:val="17"/>
          <w:szCs w:val="17"/>
          <w:color w:val="auto"/>
        </w:rPr>
      </w:pPr>
    </w:p>
    <w:p>
      <w:pPr>
        <w:jc w:val="both"/>
        <w:ind w:left="700" w:right="379" w:hanging="313"/>
        <w:spacing w:after="0" w:line="27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availability and cost of electricity, natural gas, oil and other forms of energy are subject to volatile market conditions that could adversely affect our business prospects, financial condition, results of operations and cash flows.</w:t>
      </w:r>
    </w:p>
    <w:p>
      <w:pPr>
        <w:spacing w:after="0" w:line="163"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uranium supply chains makes long-range planning uncertain.</w:t>
      </w:r>
    </w:p>
    <w:p>
      <w:pPr>
        <w:spacing w:after="0" w:line="222" w:lineRule="exact"/>
        <w:rPr>
          <w:rFonts w:ascii="Times New Roman" w:cs="Times New Roman" w:eastAsia="Times New Roman" w:hAnsi="Times New Roman"/>
          <w:sz w:val="17"/>
          <w:szCs w:val="17"/>
          <w:color w:val="auto"/>
        </w:rPr>
      </w:pPr>
    </w:p>
    <w:p>
      <w:pPr>
        <w:ind w:left="700" w:right="259" w:hanging="313"/>
        <w:spacing w:after="0" w:line="27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electricity and heat generated from nuclear sources may not be cost competitive with other electricity generation sources and/or heat generated from other sources in some markets, which could materially and adversely affect our business prospects, financial condition, results of operations and cash flow.</w:t>
      </w:r>
    </w:p>
    <w:p>
      <w:pPr>
        <w:spacing w:after="0" w:line="163" w:lineRule="exact"/>
        <w:rPr>
          <w:rFonts w:ascii="Times New Roman" w:cs="Times New Roman" w:eastAsia="Times New Roman" w:hAnsi="Times New Roman"/>
          <w:sz w:val="17"/>
          <w:szCs w:val="17"/>
          <w:color w:val="auto"/>
        </w:rPr>
      </w:pPr>
    </w:p>
    <w:p>
      <w:pPr>
        <w:ind w:left="700" w:right="219" w:hanging="313"/>
        <w:spacing w:after="0" w:line="27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illustrative unit economics are subject to significant risks, assumptions, estimates, and uncertainties. As a result, our actual revenues, timing for achieving business milestones, expenses, capital expenditures, profitability and cash flows may differ materially from our expectations.</w:t>
      </w:r>
    </w:p>
    <w:p>
      <w:pPr>
        <w:spacing w:after="0" w:line="163"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IMSR plants may not operate as planned.</w:t>
      </w:r>
    </w:p>
    <w:p>
      <w:pPr>
        <w:spacing w:after="0" w:line="222" w:lineRule="exact"/>
        <w:rPr>
          <w:rFonts w:ascii="Times New Roman" w:cs="Times New Roman" w:eastAsia="Times New Roman" w:hAnsi="Times New Roman"/>
          <w:sz w:val="17"/>
          <w:szCs w:val="17"/>
          <w:color w:val="auto"/>
        </w:rPr>
      </w:pPr>
    </w:p>
    <w:p>
      <w:pPr>
        <w:ind w:left="700" w:right="199" w:hanging="313"/>
        <w:spacing w:after="0" w:line="29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customers operate in a politically sensitive environment, and the public perception of nuclear energy and radioactive materials could materially and adversely affect us, our customers, and the markets in which we operate.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700" w:right="219" w:hanging="313"/>
        <w:spacing w:after="0" w:line="27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Incidents involving nuclear energy facilities, including accidents, terrorist acts or other high-profile events involving radioactive materials, could materially and adversely affect the public perception of the safety of nuclear energy and adversely affect our business.</w:t>
      </w:r>
    </w:p>
    <w:p>
      <w:pPr>
        <w:spacing w:after="0" w:line="163" w:lineRule="exact"/>
        <w:rPr>
          <w:rFonts w:ascii="Times New Roman" w:cs="Times New Roman" w:eastAsia="Times New Roman" w:hAnsi="Times New Roman"/>
          <w:sz w:val="17"/>
          <w:szCs w:val="17"/>
          <w:color w:val="auto"/>
        </w:rPr>
      </w:pPr>
    </w:p>
    <w:p>
      <w:pPr>
        <w:ind w:left="700" w:right="259" w:hanging="313"/>
        <w:spacing w:after="0" w:line="27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and indirect impact on us and our customers from severe weather and other effects of climate change and the economic impacts of the transition to low-emissions energy, could adversely affect our financial condition, operating results, and cash flows.</w:t>
      </w:r>
    </w:p>
    <w:p>
      <w:pPr>
        <w:spacing w:after="0" w:line="163" w:lineRule="exact"/>
        <w:rPr>
          <w:rFonts w:ascii="Times New Roman" w:cs="Times New Roman" w:eastAsia="Times New Roman" w:hAnsi="Times New Roman"/>
          <w:sz w:val="17"/>
          <w:szCs w:val="17"/>
          <w:color w:val="auto"/>
        </w:rPr>
      </w:pPr>
    </w:p>
    <w:p>
      <w:pPr>
        <w:ind w:left="700" w:right="99" w:hanging="313"/>
        <w:spacing w:after="0" w:line="27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spacing w:after="0" w:line="163" w:lineRule="exact"/>
        <w:rPr>
          <w:rFonts w:ascii="Times New Roman" w:cs="Times New Roman" w:eastAsia="Times New Roman" w:hAnsi="Times New Roman"/>
          <w:sz w:val="17"/>
          <w:szCs w:val="17"/>
          <w:color w:val="auto"/>
        </w:rPr>
      </w:pPr>
    </w:p>
    <w:p>
      <w:pPr>
        <w:ind w:left="700" w:right="2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IMSR Plant involves toxic, hazardous and/or radioactive materials and could result in liability without regard to fault or negligence.</w:t>
      </w:r>
    </w:p>
    <w:p>
      <w:pPr>
        <w:spacing w:after="0" w:line="146" w:lineRule="exact"/>
        <w:rPr>
          <w:rFonts w:ascii="Times New Roman" w:cs="Times New Roman" w:eastAsia="Times New Roman" w:hAnsi="Times New Roman"/>
          <w:sz w:val="17"/>
          <w:szCs w:val="17"/>
          <w:color w:val="auto"/>
        </w:rPr>
      </w:pPr>
    </w:p>
    <w:p>
      <w:pPr>
        <w:ind w:left="700" w:right="25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Unsatisfactory safety performance or security incidents at our customers’ facilities — or any nuclear facility around the world — could have a material adverse effect on our business, financial condition and results of operations.</w:t>
      </w:r>
    </w:p>
    <w:p>
      <w:pPr>
        <w:spacing w:after="0" w:line="146" w:lineRule="exact"/>
        <w:rPr>
          <w:rFonts w:ascii="Times New Roman" w:cs="Times New Roman" w:eastAsia="Times New Roman" w:hAnsi="Times New Roman"/>
          <w:sz w:val="17"/>
          <w:szCs w:val="17"/>
          <w:color w:val="auto"/>
        </w:rPr>
      </w:pPr>
    </w:p>
    <w:p>
      <w:pPr>
        <w:ind w:left="700" w:right="5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information technology and cyber security threats which could have adverse effects, including regulatory effects, on our business and results of operations.</w:t>
      </w:r>
    </w:p>
    <w:p>
      <w:pPr>
        <w:spacing w:after="0" w:line="146" w:lineRule="exact"/>
        <w:rPr>
          <w:rFonts w:ascii="Times New Roman" w:cs="Times New Roman" w:eastAsia="Times New Roman" w:hAnsi="Times New Roman"/>
          <w:sz w:val="17"/>
          <w:szCs w:val="17"/>
          <w:color w:val="auto"/>
        </w:rPr>
      </w:pPr>
    </w:p>
    <w:p>
      <w:pPr>
        <w:ind w:left="700" w:right="4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third-party vendors may not be able to obtain sufficient materials or supplied components to meet our manufacturing and operating needs, or obtain such materials on favorable terms or at expected costs.</w:t>
      </w:r>
    </w:p>
    <w:p>
      <w:pPr>
        <w:spacing w:after="0" w:line="146" w:lineRule="exact"/>
        <w:rPr>
          <w:rFonts w:ascii="Times New Roman" w:cs="Times New Roman" w:eastAsia="Times New Roman" w:hAnsi="Times New Roman"/>
          <w:sz w:val="17"/>
          <w:szCs w:val="17"/>
          <w:color w:val="auto"/>
        </w:rPr>
      </w:pPr>
    </w:p>
    <w:p>
      <w:pPr>
        <w:ind w:left="700" w:right="13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successfully recruit and retain experienced and qualified personnel could have a material adverse effect on our business.</w:t>
      </w:r>
    </w:p>
    <w:p>
      <w:pPr>
        <w:spacing w:after="0" w:line="146"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patents and other intellectual property rights may be challenged and is not guaranteed.</w:t>
      </w:r>
    </w:p>
    <w:p>
      <w:pPr>
        <w:spacing w:after="0" w:line="222" w:lineRule="exact"/>
        <w:rPr>
          <w:rFonts w:ascii="Times New Roman" w:cs="Times New Roman" w:eastAsia="Times New Roman" w:hAnsi="Times New Roman"/>
          <w:sz w:val="17"/>
          <w:szCs w:val="17"/>
          <w:color w:val="auto"/>
        </w:rPr>
      </w:pPr>
    </w:p>
    <w:p>
      <w:pPr>
        <w:ind w:left="700" w:right="39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enjoy only limited geographical protection with respect to certain issued patents and trademarks and may not be able to protect our intellectual property rights throughout the world.</w:t>
      </w:r>
    </w:p>
    <w:p>
      <w:pPr>
        <w:spacing w:after="0" w:line="146" w:lineRule="exact"/>
        <w:rPr>
          <w:rFonts w:ascii="Times New Roman" w:cs="Times New Roman" w:eastAsia="Times New Roman" w:hAnsi="Times New Roman"/>
          <w:sz w:val="17"/>
          <w:szCs w:val="17"/>
          <w:color w:val="auto"/>
        </w:rPr>
      </w:pPr>
    </w:p>
    <w:p>
      <w:pPr>
        <w:ind w:left="700" w:right="3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defend ourselves against intellectual property infringement claims, which may be time-consuming and could cause us to incur substantial fees and costs.</w:t>
      </w:r>
    </w:p>
    <w:p>
      <w:pPr>
        <w:spacing w:after="0" w:line="146" w:lineRule="exact"/>
        <w:rPr>
          <w:rFonts w:ascii="Times New Roman" w:cs="Times New Roman" w:eastAsia="Times New Roman" w:hAnsi="Times New Roman"/>
          <w:sz w:val="17"/>
          <w:szCs w:val="17"/>
          <w:color w:val="auto"/>
        </w:rPr>
      </w:pPr>
    </w:p>
    <w:p>
      <w:pPr>
        <w:ind w:left="700" w:right="3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identify relevant third-party patents or may incorrectly interpret the relevance, scope or expiration of a third-party patent, which might adversely affect our ability to develop and market our IMSR Plants.</w:t>
      </w:r>
    </w:p>
    <w:p>
      <w:pPr>
        <w:spacing w:after="0" w:line="146" w:lineRule="exact"/>
        <w:rPr>
          <w:rFonts w:ascii="Times New Roman" w:cs="Times New Roman" w:eastAsia="Times New Roman" w:hAnsi="Times New Roman"/>
          <w:sz w:val="17"/>
          <w:szCs w:val="17"/>
          <w:color w:val="auto"/>
        </w:rPr>
      </w:pPr>
    </w:p>
    <w:p>
      <w:pPr>
        <w:ind w:left="700" w:right="51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claims of ownership and other rights to our patents and other intellectual property by third parties.</w:t>
      </w:r>
    </w:p>
    <w:p>
      <w:pPr>
        <w:spacing w:after="0" w:line="146" w:lineRule="exact"/>
        <w:rPr>
          <w:rFonts w:ascii="Times New Roman" w:cs="Times New Roman" w:eastAsia="Times New Roman" w:hAnsi="Times New Roman"/>
          <w:sz w:val="17"/>
          <w:szCs w:val="17"/>
          <w:color w:val="auto"/>
        </w:rPr>
      </w:pPr>
    </w:p>
    <w:p>
      <w:pPr>
        <w:ind w:left="700" w:right="979" w:hanging="313"/>
        <w:spacing w:after="0" w:line="295"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Customization and hybridization of the Thermal and Electric Facility may require additional research and development and/or reliance on external service providers.</w:t>
      </w:r>
    </w:p>
    <w:p>
      <w:pPr>
        <w:spacing w:after="0" w:line="146"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management team have limited experience in operating a public company.</w:t>
      </w:r>
    </w:p>
    <w:p>
      <w:pPr>
        <w:spacing w:after="0" w:line="222" w:lineRule="exact"/>
        <w:rPr>
          <w:rFonts w:ascii="Times New Roman" w:cs="Times New Roman" w:eastAsia="Times New Roman" w:hAnsi="Times New Roman"/>
          <w:sz w:val="17"/>
          <w:szCs w:val="17"/>
          <w:color w:val="auto"/>
        </w:rPr>
      </w:pPr>
    </w:p>
    <w:p>
      <w:pPr>
        <w:ind w:left="700" w:right="119" w:hanging="313"/>
        <w:spacing w:after="0" w:line="269"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the reporting obligations under the United States securities laws and Section 404 of Sarbanes-Oxley requires expenditures of capital and other resources and may divert management’s attention. If we fail to comply with these reporting obligations or to maintain adequate internal controls our operations, and investors’ confidence in us, could be materially and adversely affected.</w:t>
      </w:r>
    </w:p>
    <w:p>
      <w:pPr>
        <w:spacing w:after="0" w:line="167"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compliance with law, government regulation and litigation.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right="219" w:hanging="313"/>
        <w:spacing w:after="0" w:line="295" w:lineRule="auto"/>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capital resources and our ability to continue as a going concern, and risks related to tax laws and regulations.</w:t>
      </w:r>
    </w:p>
    <w:p>
      <w:pPr>
        <w:spacing w:after="0" w:line="146"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volatility of our common stock, and provisions in our certificate of incorporation and bylaws.</w:t>
      </w:r>
    </w:p>
    <w:p>
      <w:pPr>
        <w:spacing w:after="0" w:line="222"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 an emerging growth company.</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20" w:lineRule="exact"/>
        <w:rPr>
          <w:sz w:val="20"/>
          <w:szCs w:val="20"/>
          <w:color w:val="auto"/>
        </w:rPr>
      </w:pPr>
    </w:p>
    <w:p>
      <w:pPr>
        <w:ind w:left="40" w:right="17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have not yet constructed an IMSR Plant, nor have we entered into any binding contract with any customer, including any of our current portfolio of project consortium partners, to operate an IMSR Plant or deliver electricity or heat, and there is no guarantee that we will be able to do so in the future. Our limited commercial operating history makes it difficult to evaluate our prospects, the risks and challenges we may encounter and our total potential addressable market.</w:t>
      </w:r>
    </w:p>
    <w:p>
      <w:pPr>
        <w:spacing w:after="0" w:line="169"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7"/>
          <w:szCs w:val="17"/>
          <w:color w:val="auto"/>
        </w:rPr>
        <w:t>Our business plan includes entering into arrangements with customers, which we also refer to as project consortium partners (including builder-operators, offtake customers, suppliers as well as public and private project investors), who will construct and operate IMSR Plants. Our ability to execute on our business plan will be subject to reaching binding agreements with potential customers for electricity or heat delivered by our IMSR Plant. If no potential near-term customer enters into such binding agreements, our planned construction and operation of our IMSR Plants could be significantly delayed. Such delays would result in delays in revenue and could hinder our ability to gain market traction with other potential customers. This could have a material adverse effect on our business and financial condition. To date, we have entered into contingent non-binding letters of intent to cooperate with potential customers to identify sites and land-use requirements for IMSR Plant licensing and construction, which may not result in binding agreements for the purchase of our products or services. We have been selected to site an IMSR Plant at the Texas A&amp;M-RELLIS campus, subject to successful site characterization studies, governing body approvals and regulatory approvals. As a result of our limited commercial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and model future growth is limited and subject to a number of uncertainties. Therefore, there can be no assurance that our internal estimates relating to the size of our serviceable addressable market will be correct. In addition, our expectations with respect to our serviceable addressable market may differ from those of third parties, including investors or securities analysts.</w:t>
      </w:r>
    </w:p>
    <w:p>
      <w:pPr>
        <w:spacing w:after="0" w:line="393"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Any delays in the development and construction of our IMSR plants and the manufacturing of their key components due to a number of factors, including the degree of pre-fabrication, standardization, on-site construction, long-lead procurement, contractor performance, plant pre-operational and startup testing and other site-specific considerations may adversely impact our business and financial condition.</w:t>
      </w:r>
    </w:p>
    <w:p>
      <w:pPr>
        <w:spacing w:after="0" w:line="169"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The success of our business will depend in large part on our ability to successfully deliver the IMSR plant to customers on-time and on-budget at specified performance levels. There is no guarantee that our planned deployments of the IMSR plant will be successful, timely, or on budget. There can be no assurance that we will not experience operational or process failures and other problems during our first commercial deployment or any planned deployment thereafter.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In the future, we may experience delays, cost overruns or other complications in the design, manufacture, production and delivery of the IMSR plant and its key components, such as the IMSR Core-unit and IMSR Fuel Salt, that could prevent us from delivering IMSR plants in 2034 or beyond. We have not updated third-party cost estimates related to building our IMSR plants since 2021 and the cost environment may have adversely changed since such preliminary third-party cost estimates were obtained. Such third-party cost estimates may be significantly higher than our current estimates, which affect the marketability, capital and operational costs of our IMSR plants and our expectations with respect to our business plan and future profitability. The effect of such complications may be increased as a result of rising commodity prices and interest rates, which may increase costs to us and to our customers and may adversely affect the competitiveness of our IMSR plants compared to more established, competing means of supplying electricity or heat. If delays like this occur, we could experience issues or delays in sustaining or further increasing production and sales of IMSR plants. Similarly, we do not yet have binding commitments with any customers for the purchase of our IMSR Core-unit or IMSR Fuel Salt, and if we are unable to competitively price these components as a result of increased costs or delays in their production or otherwise, we may not realize the expected revenues associated with supplying our IMSR Plant to our customers, or our customers may need to rely on third-parties to provide components and fuel for their IMSR plants.</w:t>
      </w:r>
    </w:p>
    <w:p>
      <w:pPr>
        <w:spacing w:after="0" w:line="179"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If we encounter difficulties in scaling our production and delivery capabilities, if we fail to develop and successfully commercialize our IMSR plants and related technologies, if we fail to timely develop such technologies before our competitors or if such technologies fail to perform as expected, are inferior to those of our competitors or are perceived as less safe or less efficient than those of our competitors, our business and financial condition could be materially and adversely impacted.</w:t>
      </w:r>
    </w:p>
    <w:p>
      <w:pPr>
        <w:spacing w:after="0" w:line="164" w:lineRule="exact"/>
        <w:rPr>
          <w:sz w:val="20"/>
          <w:szCs w:val="20"/>
          <w:color w:val="auto"/>
        </w:rPr>
      </w:pPr>
    </w:p>
    <w:p>
      <w:pPr>
        <w:ind w:left="40" w:right="5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limited commercial operating history in a rapidly evolving industry makes it difficult for us to evaluate our future prospects and prepare for the risks and challenges we may encounter.</w:t>
      </w:r>
    </w:p>
    <w:p>
      <w:pPr>
        <w:spacing w:after="0" w:line="142"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We have a limited commercial operating history in a rapidly evolving industry. The markets for nuclear reactor design, nuclear reactor production, nuclear fuel design, nuclear fuel supply, and services related to any or all of the foregoing business may not continue to develop in a manner that we expect or that otherwise would be favorable to our business. As a result of our limited operating history and ongoing changes in our new and evolving industry, including evolving demand for our products and services and the potential development of technologies that may prove more efficient or effective for our intended use cases,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in this annual report. Accordingly, should we provide forecasts in the future,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spacing w:after="0" w:line="178" w:lineRule="exact"/>
        <w:rPr>
          <w:sz w:val="20"/>
          <w:szCs w:val="20"/>
          <w:color w:val="auto"/>
        </w:rPr>
      </w:pPr>
    </w:p>
    <w:p>
      <w:pPr>
        <w:ind w:left="40" w:right="4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we may be unable to execute our business plan, and our business, results of operations, and financial condition could be harmed.</w:t>
      </w:r>
    </w:p>
    <w:p>
      <w:pPr>
        <w:spacing w:after="0" w:line="142"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In order to achieve the future revenue growth anticipated, we must finalize our IMSR Plant design, receive regulatory approvals, including the USNRC and other regulatory bodies licensing our IMSR Plants, design, construct and license facilities to manufacture and produce IMSR Core-units and IMSR Fuel Salt, and continue to develop and market new products and services to traditional and non-traditional end-users. If our operations grow as planned,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include:</w:t>
      </w:r>
    </w:p>
    <w:p>
      <w:pPr>
        <w:spacing w:after="0" w:line="177" w:lineRule="exact"/>
        <w:rPr>
          <w:sz w:val="20"/>
          <w:szCs w:val="20"/>
          <w:color w:val="auto"/>
        </w:rPr>
      </w:pPr>
    </w:p>
    <w:p>
      <w:pPr>
        <w:ind w:left="1320" w:hanging="306"/>
        <w:spacing w:after="0"/>
        <w:tabs>
          <w:tab w:leader="none" w:pos="13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and training new personnel;</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the designs and licensing of our first IMSR Plant;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20" w:right="179" w:hanging="306"/>
        <w:spacing w:after="0" w:line="275" w:lineRule="auto"/>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customizing applications of our IMSR Plants to serve both traditional utility and electric power customers and a broad base of non-traditional industrial customers interested in utilizing the efficient high-temperature heat produced by our design;</w:t>
      </w:r>
    </w:p>
    <w:p>
      <w:pPr>
        <w:spacing w:after="0" w:line="163"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supply chain necessary to supply components for our IMSR Plant;</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processes and technologies to transport radiological materials;</w:t>
      </w:r>
    </w:p>
    <w:p>
      <w:pPr>
        <w:spacing w:after="0" w:line="222" w:lineRule="exact"/>
        <w:rPr>
          <w:rFonts w:ascii="Times New Roman" w:cs="Times New Roman" w:eastAsia="Times New Roman" w:hAnsi="Times New Roman"/>
          <w:sz w:val="17"/>
          <w:szCs w:val="17"/>
          <w:color w:val="auto"/>
        </w:rPr>
      </w:pPr>
    </w:p>
    <w:p>
      <w:pPr>
        <w:ind w:left="1320" w:right="399" w:hanging="306"/>
        <w:spacing w:after="0" w:line="295" w:lineRule="auto"/>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IMSR Fuel Salt production capabilities and capacity to transport and deliver IMSR Fuel Salt, including the ability to purchase SALEU UF4 and the other elements of the IMSR Fuel Salt;</w:t>
      </w:r>
    </w:p>
    <w:p>
      <w:pPr>
        <w:spacing w:after="0" w:line="146"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the operational capabilities and functions necessary for others to operate our IMSR Plant;</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controlling expenses and investments in anticipation of expanded operations and rising costs;</w:t>
      </w:r>
    </w:p>
    <w:p>
      <w:pPr>
        <w:spacing w:after="0" w:line="222" w:lineRule="exact"/>
        <w:rPr>
          <w:rFonts w:ascii="Times New Roman" w:cs="Times New Roman" w:eastAsia="Times New Roman" w:hAnsi="Times New Roman"/>
          <w:sz w:val="17"/>
          <w:szCs w:val="17"/>
          <w:color w:val="auto"/>
        </w:rPr>
      </w:pPr>
    </w:p>
    <w:p>
      <w:pPr>
        <w:ind w:left="1320" w:right="379" w:hanging="306"/>
        <w:spacing w:after="0" w:line="295" w:lineRule="auto"/>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upgrading the existing operational management and financial reporting systems and team to comply with requirements as a public company; and</w:t>
      </w:r>
    </w:p>
    <w:p>
      <w:pPr>
        <w:spacing w:after="0" w:line="146"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and enhancing administrative infrastructure, systems and processes.</w:t>
      </w:r>
    </w:p>
    <w:p>
      <w:pPr>
        <w:spacing w:after="0" w:line="22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If our operations continue to grow as planned, of which there can be no assurance, we will need to expand our sales and marketing, research and development, customer and commercial strategy, permitting and licensing, products and services, manufacturing, supply, and operations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spacing w:after="0" w:line="179"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7"/>
          <w:szCs w:val="17"/>
          <w:color w:val="auto"/>
        </w:rPr>
        <w:t>Our continued growth could increase the strain on our resources, and we could experience operating difficulties, including difficulties in hiring and training employees, finding manufacturing capacity to produce our IMSR Plants and related equipment, delays in production, finding suitable locations or partners for our IMSR plants, challenges in scaling-up IMSR Fuel Salt and IMSR Core-unit production capacity and supply, and difficulty sourcing adequate raw materials for our IMSR Plants.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spacing w:after="0" w:line="175" w:lineRule="exact"/>
        <w:rPr>
          <w:sz w:val="20"/>
          <w:szCs w:val="20"/>
          <w:color w:val="auto"/>
        </w:rPr>
      </w:pPr>
    </w:p>
    <w:p>
      <w:pPr>
        <w:ind w:left="40" w:right="1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IMSR Plants may suffer significant construction delays or cost increases as a result of a variety of factors. Any such delays could cause the construction of a project to ultimately be unprofitable for the Company or otherwise adversely affect the Company’s business, financial condition and results of operations.</w:t>
      </w:r>
    </w:p>
    <w:p>
      <w:pPr>
        <w:spacing w:after="0" w:line="160"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7"/>
          <w:szCs w:val="17"/>
          <w:color w:val="auto"/>
        </w:rPr>
        <w:t>Our IMSR Plant design development will be actively managed through design reviews, prototyping of key systems, involvement of external partners and application of industry lessons, but we could still fail to identify latent manufacturing and construction issues early enough to avoid negative effects on construction or ultimate performance of our IMSR Plants.</w:t>
      </w:r>
    </w:p>
    <w:p>
      <w:pPr>
        <w:spacing w:after="0" w:line="163" w:lineRule="exact"/>
        <w:rPr>
          <w:sz w:val="20"/>
          <w:szCs w:val="20"/>
          <w:color w:val="auto"/>
        </w:rPr>
      </w:pPr>
    </w:p>
    <w:p>
      <w:pPr>
        <w:jc w:val="both"/>
        <w:ind w:left="40" w:right="99"/>
        <w:spacing w:after="0" w:line="275" w:lineRule="auto"/>
        <w:rPr>
          <w:sz w:val="20"/>
          <w:szCs w:val="20"/>
          <w:color w:val="auto"/>
        </w:rPr>
      </w:pPr>
      <w:r>
        <w:rPr>
          <w:rFonts w:ascii="Times New Roman" w:cs="Times New Roman" w:eastAsia="Times New Roman" w:hAnsi="Times New Roman"/>
          <w:sz w:val="17"/>
          <w:szCs w:val="17"/>
          <w:color w:val="auto"/>
        </w:rPr>
        <w:t>While the Company anticipates improved cost efficiency as it gains further experience in delivering IMSR Plants, there may be delays or unexpected developments at such later stages of completing projects, which could cause construction costs to exceed the Company’s expectations as a result of a variety of factors, including but not limited to:</w:t>
      </w:r>
    </w:p>
    <w:p>
      <w:pPr>
        <w:spacing w:after="0" w:line="163" w:lineRule="exact"/>
        <w:rPr>
          <w:sz w:val="20"/>
          <w:szCs w:val="20"/>
          <w:color w:val="auto"/>
        </w:rPr>
      </w:pPr>
    </w:p>
    <w:p>
      <w:pPr>
        <w:jc w:val="center"/>
        <w:ind w:left="4420" w:right="1599" w:hanging="3406"/>
        <w:spacing w:after="0" w:line="808" w:lineRule="auto"/>
        <w:tabs>
          <w:tab w:leader="none" w:pos="13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secure and maintain environmental and other permits or regulatory approvals;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38100</wp:posOffset>
            </wp:positionV>
            <wp:extent cx="566166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complete the interconnection to transmission networks;</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or municipal support for the project;</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problems with EPC contractor or supplier solvency;</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appeals of environmental and other permits or approvals that the Company obtains;</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regulatory regime applicable to the construction of the project;</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required financing;</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interest rates;</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all necessary rights to land access and use;</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critical components and equipment that meet design specifications;</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scheduled deliveries of critical components and equipment;</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quality and timely performance from key contractors and vendors;</w:t>
      </w:r>
    </w:p>
    <w:p>
      <w:pPr>
        <w:spacing w:after="0" w:line="222" w:lineRule="exact"/>
        <w:rPr>
          <w:rFonts w:ascii="Times New Roman" w:cs="Times New Roman" w:eastAsia="Times New Roman" w:hAnsi="Times New Roman"/>
          <w:sz w:val="17"/>
          <w:szCs w:val="17"/>
          <w:color w:val="auto"/>
        </w:rPr>
      </w:pPr>
    </w:p>
    <w:p>
      <w:pPr>
        <w:ind w:left="1320" w:right="119" w:hanging="306"/>
        <w:spacing w:after="0" w:line="295" w:lineRule="auto"/>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supplier costs, including those due to unexpected increases in inflation, currency exchange rates, tariffs, or commodity prices;</w:t>
      </w:r>
    </w:p>
    <w:p>
      <w:pPr>
        <w:spacing w:after="0" w:line="146"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engineering problems;</w:t>
      </w:r>
    </w:p>
    <w:p>
      <w:pPr>
        <w:spacing w:after="0" w:line="222" w:lineRule="exact"/>
        <w:rPr>
          <w:rFonts w:ascii="Times New Roman" w:cs="Times New Roman" w:eastAsia="Times New Roman" w:hAnsi="Times New Roman"/>
          <w:sz w:val="17"/>
          <w:szCs w:val="17"/>
          <w:color w:val="auto"/>
        </w:rPr>
      </w:pPr>
    </w:p>
    <w:p>
      <w:pPr>
        <w:ind w:left="1320" w:right="519" w:hanging="306"/>
        <w:spacing w:after="0" w:line="295" w:lineRule="auto"/>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third parties to timely construct facilities that will be used by the Company under co-tenancy arrangements;</w:t>
      </w:r>
    </w:p>
    <w:p>
      <w:pPr>
        <w:spacing w:after="0" w:line="146"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 strikes, labor underperformance or shortages of skilled labor;</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inclement weather conditions;</w:t>
      </w:r>
    </w:p>
    <w:p>
      <w:pPr>
        <w:spacing w:after="0" w:line="222" w:lineRule="exact"/>
        <w:rPr>
          <w:rFonts w:ascii="Times New Roman" w:cs="Times New Roman" w:eastAsia="Times New Roman" w:hAnsi="Times New Roman"/>
          <w:sz w:val="17"/>
          <w:szCs w:val="17"/>
          <w:color w:val="auto"/>
        </w:rPr>
      </w:pPr>
    </w:p>
    <w:p>
      <w:pPr>
        <w:ind w:left="1320" w:hanging="306"/>
        <w:spacing w:after="0"/>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environmental and geological conditions; and</w:t>
      </w:r>
    </w:p>
    <w:p>
      <w:pPr>
        <w:spacing w:after="0" w:line="222" w:lineRule="exact"/>
        <w:rPr>
          <w:rFonts w:ascii="Times New Roman" w:cs="Times New Roman" w:eastAsia="Times New Roman" w:hAnsi="Times New Roman"/>
          <w:sz w:val="17"/>
          <w:szCs w:val="17"/>
          <w:color w:val="auto"/>
        </w:rPr>
      </w:pPr>
    </w:p>
    <w:p>
      <w:pPr>
        <w:ind w:left="1320" w:right="659" w:hanging="306"/>
        <w:spacing w:after="0" w:line="295" w:lineRule="auto"/>
        <w:tabs>
          <w:tab w:leader="none" w:pos="1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force majeure or other events beyond the Company’s control, including changes in law or in political support.</w:t>
      </w:r>
    </w:p>
    <w:p>
      <w:pPr>
        <w:spacing w:after="0" w:line="142" w:lineRule="exact"/>
        <w:rPr>
          <w:sz w:val="20"/>
          <w:szCs w:val="20"/>
          <w:color w:val="auto"/>
        </w:rPr>
      </w:pPr>
    </w:p>
    <w:p>
      <w:pPr>
        <w:jc w:val="both"/>
        <w:ind w:left="40" w:right="65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Any failure to effectively update the design, construction, and operations of our planned IMSR Plants to ensure cost competitiveness could reduce the marketability of our designs and has the potential to impact deployment schedules.</w:t>
      </w:r>
    </w:p>
    <w:p>
      <w:pPr>
        <w:spacing w:after="0" w:line="142"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Updating our designs, construction models, and operation models will be necessary to be competitive and attractive in the market, particularly in the United States where the price of power is generally lower than in certain other key markets. If we are not able to achieve and maintain cost-competitiveness of our IMSR Fuel Salt or our planned IMSR Plants in the United States or elsewhere, our business could be materially and adversely affected.</w:t>
      </w:r>
    </w:p>
    <w:p>
      <w:pPr>
        <w:spacing w:after="0" w:line="164" w:lineRule="exact"/>
        <w:rPr>
          <w:sz w:val="20"/>
          <w:szCs w:val="20"/>
          <w:color w:val="auto"/>
        </w:rPr>
      </w:pPr>
    </w:p>
    <w:p>
      <w:pPr>
        <w:ind w:left="40" w:right="17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Successful commercialization of new, or further enhancements to existing, alternative low-carbon energy generation technologies, such as adding carbon capture and sequestration/storage mechanisms to fossil fuel power plants, wind, solar, geothermal or fusion, may prove to be more cost effective or appealing to the global energy markets and therefore may adversely affect the market demand for our IMSR Plants, potentially adversely affecting our ability to successfully commercialize our IMSR Plants.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The expected market for our IMSR Plant generating electric power and high-temperature heat may be superseded or rendered obsolete by new technology or the novel application of existing technologies. Our estimates for the serviceable addressable market and our expectations, inclusive of recent updates, with regards to certain unit economics are based on a number of internal and third-party estimates, including our potential contracted revenue, the number of potential customers who have expressed interest in our IMSR Plant, assumed prices and production and regulatory costs for our IMSR Plant, our ability to leverage 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our estimates of the serviceable addressable market for our products and services, as well as the expected growth rate for the serviceable addressable market for our products and services, may prove to be incorrect. Any material change to our assumptions or expectations with respect to the foregoing may have a material adverse effect on our business prospects, financial condition, results of operations and cash flows and could harm our reputation.</w:t>
      </w:r>
    </w:p>
    <w:p>
      <w:pPr>
        <w:spacing w:after="0" w:line="180" w:lineRule="exact"/>
        <w:rPr>
          <w:sz w:val="20"/>
          <w:szCs w:val="20"/>
          <w:color w:val="auto"/>
        </w:rPr>
      </w:pPr>
    </w:p>
    <w:p>
      <w:pPr>
        <w:ind w:left="40" w:right="4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demand for our IMSR Plants fails to develop sufficiently, our business and operations could suffer, and we would be unable to achieve or maintain profitability.</w:t>
      </w:r>
    </w:p>
    <w:p>
      <w:pPr>
        <w:spacing w:after="0" w:line="142" w:lineRule="exact"/>
        <w:rPr>
          <w:sz w:val="20"/>
          <w:szCs w:val="20"/>
          <w:color w:val="auto"/>
        </w:rPr>
      </w:pPr>
    </w:p>
    <w:p>
      <w:pPr>
        <w:ind w:left="40" w:right="159"/>
        <w:spacing w:after="0" w:line="295" w:lineRule="auto"/>
        <w:rPr>
          <w:sz w:val="20"/>
          <w:szCs w:val="20"/>
          <w:color w:val="auto"/>
        </w:rPr>
      </w:pPr>
      <w:r>
        <w:rPr>
          <w:rFonts w:ascii="Times New Roman" w:cs="Times New Roman" w:eastAsia="Times New Roman" w:hAnsi="Times New Roman"/>
          <w:sz w:val="17"/>
          <w:szCs w:val="17"/>
          <w:color w:val="auto"/>
        </w:rPr>
        <w:t>The viability and continued growth in demand for new nuclear technologies, and in turn, our IMSR Plant, may be impacted by many factors outside of our control, including:</w:t>
      </w:r>
    </w:p>
    <w:p>
      <w:pPr>
        <w:spacing w:after="0" w:line="146" w:lineRule="exact"/>
        <w:rPr>
          <w:sz w:val="20"/>
          <w:szCs w:val="20"/>
          <w:color w:val="auto"/>
        </w:rPr>
      </w:pPr>
    </w:p>
    <w:p>
      <w:pPr>
        <w:ind w:left="700" w:hanging="31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nuclear energy;</w:t>
      </w:r>
    </w:p>
    <w:p>
      <w:pPr>
        <w:spacing w:after="0" w:line="222" w:lineRule="exact"/>
        <w:rPr>
          <w:rFonts w:ascii="Times New Roman" w:cs="Times New Roman" w:eastAsia="Times New Roman" w:hAnsi="Times New Roman"/>
          <w:sz w:val="17"/>
          <w:szCs w:val="17"/>
          <w:color w:val="auto"/>
        </w:rPr>
      </w:pPr>
    </w:p>
    <w:p>
      <w:pPr>
        <w:ind w:left="700" w:right="79" w:hanging="313"/>
        <w:spacing w:after="0" w:line="295" w:lineRule="auto"/>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competitiveness, reliability and performance of our IMSR Plants compared to conventional and renewable energy sources and products;</w:t>
      </w:r>
    </w:p>
    <w:p>
      <w:pPr>
        <w:spacing w:after="0" w:line="146" w:lineRule="exact"/>
        <w:rPr>
          <w:rFonts w:ascii="Times New Roman" w:cs="Times New Roman" w:eastAsia="Times New Roman" w:hAnsi="Times New Roman"/>
          <w:sz w:val="17"/>
          <w:szCs w:val="17"/>
          <w:color w:val="auto"/>
        </w:rPr>
      </w:pPr>
    </w:p>
    <w:p>
      <w:pPr>
        <w:ind w:left="700" w:right="339" w:hanging="313"/>
        <w:spacing w:after="0" w:line="295" w:lineRule="auto"/>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nuclear power industry and broader energy industries are deregulated to permit quicker and broader adoption of nuclear electricity generation;</w:t>
      </w:r>
    </w:p>
    <w:p>
      <w:pPr>
        <w:spacing w:after="0" w:line="146"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availability of skilled labor, key materials and components used in the production of our IMSR Plants;</w:t>
      </w:r>
    </w:p>
    <w:p>
      <w:pPr>
        <w:spacing w:after="0" w:line="222"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prices of traditional utility-provided energy sources; and</w:t>
      </w:r>
    </w:p>
    <w:p>
      <w:pPr>
        <w:spacing w:after="0" w:line="222" w:lineRule="exact"/>
        <w:rPr>
          <w:rFonts w:ascii="Times New Roman" w:cs="Times New Roman" w:eastAsia="Times New Roman" w:hAnsi="Times New Roman"/>
          <w:sz w:val="17"/>
          <w:szCs w:val="17"/>
          <w:color w:val="auto"/>
        </w:rPr>
      </w:pPr>
    </w:p>
    <w:p>
      <w:pPr>
        <w:ind w:left="700" w:right="279" w:hanging="313"/>
        <w:spacing w:after="0" w:line="295" w:lineRule="auto"/>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continuance, or success of, or increased government support for, other alternative energy generation technologies and products.</w:t>
      </w:r>
    </w:p>
    <w:p>
      <w:pPr>
        <w:spacing w:after="0" w:line="146" w:lineRule="exact"/>
        <w:rPr>
          <w:sz w:val="20"/>
          <w:szCs w:val="20"/>
          <w:color w:val="auto"/>
        </w:rPr>
      </w:pPr>
    </w:p>
    <w:p>
      <w:pPr>
        <w:ind w:left="40" w:right="199"/>
        <w:spacing w:after="0" w:line="275" w:lineRule="auto"/>
        <w:rPr>
          <w:sz w:val="20"/>
          <w:szCs w:val="20"/>
          <w:color w:val="auto"/>
        </w:rPr>
      </w:pPr>
      <w:r>
        <w:rPr>
          <w:rFonts w:ascii="Times New Roman" w:cs="Times New Roman" w:eastAsia="Times New Roman" w:hAnsi="Times New Roman"/>
          <w:sz w:val="17"/>
          <w:szCs w:val="17"/>
          <w:color w:val="auto"/>
        </w:rPr>
        <w:t>Reduction in energy demand or changes in climate-related policies may change market conditions, reducing our product’s competitiveness and affecting our performance. If demand does not grow, our business and operations could suffer, which would have an adverse impact on our ability to grow our business and we could be unable to achieve or maintain profitability.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IMSR Plant design may not attract customers as quickly as we expect, or at all.</w:t>
      </w:r>
    </w:p>
    <w:p>
      <w:pPr>
        <w:spacing w:after="0" w:line="226" w:lineRule="exact"/>
        <w:rPr>
          <w:sz w:val="20"/>
          <w:szCs w:val="20"/>
          <w:color w:val="auto"/>
        </w:rPr>
      </w:pPr>
    </w:p>
    <w:p>
      <w:pPr>
        <w:ind w:left="40" w:right="359"/>
        <w:spacing w:after="0" w:line="266" w:lineRule="auto"/>
        <w:rPr>
          <w:sz w:val="20"/>
          <w:szCs w:val="20"/>
          <w:color w:val="auto"/>
        </w:rPr>
      </w:pPr>
      <w:r>
        <w:rPr>
          <w:rFonts w:ascii="Times New Roman" w:cs="Times New Roman" w:eastAsia="Times New Roman" w:hAnsi="Times New Roman"/>
          <w:sz w:val="17"/>
          <w:szCs w:val="17"/>
          <w:color w:val="auto"/>
        </w:rPr>
        <w:t>IMSR and other advanced nuclear technologies are relatively new and unproven and may be more costly than alternatives. Accordingly, adoption of our technology, IMSR Plants or advanced nuclear technologies generally, among our potential customers may progress more slowly than we anticipate, or it may be more expensive to bring potential customers into our pipeline. Any delay or failure to sell IMSR Plants to our customers may have a material and adverse impact on our business and financial condition.</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39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Customers may rescind or back out of non-binding agreements due to various reasons, which could adversely affect our revenue streams, project timelines, and overall financial performance.</w:t>
      </w:r>
    </w:p>
    <w:p>
      <w:pPr>
        <w:spacing w:after="0" w:line="14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We have entered into and may enter into additional non-binding agreements, such as a memorandum of understanding or a letter of interest with customers for the purchase of power or to collaborate on projects. These memoranda of understanding and letters of interest are non-binding and the underlying contracts may not come to fruition as a result of, among other things, changes in business priorities, financial constraints, regulatory changes, force majeure events, failure to obtain necessary approvals, or failure to meet contractual obligations by either party. The termination of these agreements could adversely affect our business. For example, while we expect to enter into agreements with the Texas A&amp;M University System to construct an IMSR Plant at the Texas A&amp;M-RELLIS campus site in accordance with our December 2024 MOU, no assurances can be given as to whether or when we may be able to do so. Additionally, loss of planned customers or projects may negatively impact our reputation and future business prospects.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cost estimates are sensitive to broader economic factors, and our ability to control or manage our costs may be limited</w:t>
      </w:r>
      <w:r>
        <w:rPr>
          <w:rFonts w:ascii="Times New Roman" w:cs="Times New Roman" w:eastAsia="Times New Roman" w:hAnsi="Times New Roman"/>
          <w:sz w:val="17"/>
          <w:szCs w:val="17"/>
          <w:b w:val="1"/>
          <w:bCs w:val="1"/>
          <w:color w:val="auto"/>
        </w:rPr>
        <w:t>.</w:t>
      </w:r>
    </w:p>
    <w:p>
      <w:pPr>
        <w:spacing w:after="0" w:line="226"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Capital and operating costs for the deployment of our first commercial IMSR Plant may be difficult to project, are inherently variable and are subject to significant change based on a variety of factors, including site specific factors, customer off-take requirements, regulatory oversight, operating agreements, supply chain availability, inflation, cost escalations for first-of-a-kind technologies and other factors. Opportunities for cost reductions with subsequent deployments are similarly uncertain. To the extent cost reductions are not achieved within the expected timeframe or magnitude, the IMSR Plant may not be cost competitive with alternative technologies, which could materially and adversely affect our expected revenues, gross margins and unit economics and levelized cost expectations.</w:t>
      </w:r>
    </w:p>
    <w:p>
      <w:pPr>
        <w:spacing w:after="0" w:line="173" w:lineRule="exact"/>
        <w:rPr>
          <w:sz w:val="20"/>
          <w:szCs w:val="20"/>
          <w:color w:val="auto"/>
        </w:rPr>
      </w:pPr>
    </w:p>
    <w:p>
      <w:pPr>
        <w:jc w:val="both"/>
        <w:ind w:left="40" w:right="9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Competition from existing or new competitors or technologies domestically and internationally could cause us to experience one or more of downward pressures on prices, lower customer demand for our products and services, reduced margins, the inability to take advantage of new business opportunities and the loss of market share</w:t>
      </w:r>
      <w:r>
        <w:rPr>
          <w:rFonts w:ascii="Times New Roman" w:cs="Times New Roman" w:eastAsia="Times New Roman" w:hAnsi="Times New Roman"/>
          <w:sz w:val="17"/>
          <w:szCs w:val="17"/>
          <w:b w:val="1"/>
          <w:bCs w:val="1"/>
          <w:color w:val="auto"/>
        </w:rPr>
        <w: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operate in highly competitive markets and are subject to competition based upon product design, performance, technology,</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pricing, quality, and services, from competing nuclear suppliers as well as from alternative means of producing electricity</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and/or heat. There are a number of advanced reactor designs, and advanced reactor projects, under development in the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United States. Many of these designs are involved in pre-application review with the USNRC. Our advanced design, projected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product design performance, engineering expertise, and quality control have been important factors in our growth; nonetheless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companies providing competing technologies could capture customers or market share from us, which could have a</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material adverse effect on our business or financial condition.</w:t>
      </w:r>
    </w:p>
    <w:p>
      <w:pPr>
        <w:spacing w:after="0" w:line="204"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7"/>
          <w:szCs w:val="17"/>
          <w:color w:val="auto"/>
        </w:rPr>
        <w:t>Moreover, our competitors may develop or adopt technologies that are superior, more efficient, more effective, and/or more attractive to prospective customers compared to our technologies (on a price-to-value basis, operational impact, or otherwise), or may adapt more quickly to leverage new or emerging technologies or meet new or evolving regulatory requirements in our target markets. We will need to anticipate and respond to these changes by enhancing our offerings and/or internal processes in order to maintain our competitive position, but we may not be successful in doing so. In such scenarios, the Company may not be able to commercialize the IMSR Plant.</w:t>
      </w:r>
    </w:p>
    <w:p>
      <w:pPr>
        <w:spacing w:after="0" w:line="172"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7"/>
          <w:szCs w:val="17"/>
          <w:color w:val="auto"/>
        </w:rPr>
        <w:t>For sales and/or deployments outside of jurisdictions with highly-developed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Those competitors may have a competitive advantage if they are able to obtain approvals, or if they can demonstrate to potential customers the value and benefits of their products and services, particularly in jurisdictions that have less stringent nuclear regulatory requirements. These competitors may have access to greater sources of funding to develop and commercialize their products than we do, whether as a result of potential competitive advantages or from supportive national governments, and may be able to substantially discount sales costs of nuclear plants in their respective markets. This market environment may result in increased pressures on our pricing and other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Substantial governmental support for competing technologies or their fuel supply may reduce our competitive advantages.</w:t>
      </w:r>
    </w:p>
    <w:p>
      <w:pPr>
        <w:spacing w:after="0" w:line="226"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7"/>
          <w:szCs w:val="17"/>
          <w:color w:val="auto"/>
        </w:rPr>
        <w:t>The U.S. government has announced initiatives to support a variety of Generation IV SMR technologies, including our technology and competing technologies. Among other programs, the U.S. Department of Energy has announced programs designed to support the creation of a U.S. supply chain for HALEU. Should the Federal Government seek to preferentially support competing nuclear technologies, we may experience a loss in competitive position in our sector. For example, should the U.S. government provide the substantial funding we believe would be necessary to establish a domestic HALEU supply chain at commercial scale, then the competitive advantage of our choice of SALEU as a fuel for the IMSR Plant would be reduced.</w:t>
      </w:r>
    </w:p>
    <w:p>
      <w:pPr>
        <w:spacing w:after="0" w:line="173" w:lineRule="exact"/>
        <w:rPr>
          <w:sz w:val="20"/>
          <w:szCs w:val="20"/>
          <w:color w:val="auto"/>
        </w:rPr>
      </w:pPr>
    </w:p>
    <w:p>
      <w:pPr>
        <w:ind w:left="40" w:right="29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the availability and cost of electricity, natural gas, oil and other forms of energy are subject to volatile market conditions that could adversely affect our business prospects, financial condition, results of operations and cash flows.</w:t>
      </w:r>
    </w:p>
    <w:p>
      <w:pPr>
        <w:spacing w:after="0" w:line="142" w:lineRule="exact"/>
        <w:rPr>
          <w:sz w:val="20"/>
          <w:szCs w:val="20"/>
          <w:color w:val="auto"/>
        </w:rPr>
      </w:pPr>
    </w:p>
    <w:p>
      <w:pPr>
        <w:ind w:left="40" w:right="239"/>
        <w:spacing w:after="0" w:line="264" w:lineRule="auto"/>
        <w:rPr>
          <w:sz w:val="20"/>
          <w:szCs w:val="20"/>
          <w:color w:val="auto"/>
        </w:rPr>
      </w:pPr>
      <w:r>
        <w:rPr>
          <w:rFonts w:ascii="Times New Roman" w:cs="Times New Roman" w:eastAsia="Times New Roman" w:hAnsi="Times New Roman"/>
          <w:sz w:val="17"/>
          <w:szCs w:val="17"/>
          <w:color w:val="auto"/>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business prospects, financial condition results of operations and cash flow.</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potential disruption of uranium supply chains makes long-range planning uncertain.</w:t>
      </w:r>
    </w:p>
    <w:p>
      <w:pPr>
        <w:spacing w:after="0" w:line="226"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Our IMSR technology depends on a reliable supply of enriched uranium, and supply restrictions and major cost increases in the international market for natural uranium, uranium enrichment, and/or conversion services could have a material adverse effect on our business, financial condition, and results of operations. Our revenue necessarily is dependent upon, and affected by, the long and short-term availability of uranium, which is subject to significant volatility. The international market for uranium has been and will continue to be affected by numerous factors beyond our control. These factors include the demand for nuclear power, political and economic conditions in uranium producing and consuming countries, uranium production levels and costs of production.</w:t>
      </w:r>
    </w:p>
    <w:p>
      <w:pPr>
        <w:spacing w:after="0" w:line="173" w:lineRule="exact"/>
        <w:rPr>
          <w:sz w:val="20"/>
          <w:szCs w:val="20"/>
          <w:color w:val="auto"/>
        </w:rPr>
      </w:pPr>
    </w:p>
    <w:p>
      <w:pPr>
        <w:ind w:left="40" w:right="1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cost of electricity and heat generated from nuclear sources may not be cost competitive with other electricity generation sources and/or heat generated from other sources in some markets, which could materially and adversely affect our business prospects, financial condition, results of operations and cash flow.</w:t>
      </w:r>
    </w:p>
    <w:p>
      <w:pPr>
        <w:spacing w:after="0" w:line="160"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7"/>
          <w:szCs w:val="17"/>
          <w:color w:val="auto"/>
        </w:rPr>
        <w:t>Many U.S. electricity markets price electric energy, heat, capacity, and/or ancillary services on a competitive basis, with market prices subject to substantial fluctuations. Other markets remain heavily regulated by state or local utility regulatory authorities, with power or heat purchase decisions by electric utilities subject to various competitiveness or prudence tests. As a result of competitive pressures, some electricity markets experience low marginal energy and heat prices at certain times due to a combination of subsidized generating resources, competitors with low-cost or no-cost fuel sources, or market-design features that create incentives for certain attributes or deliver revenue in unpredictable ways over time, and we may not be able to compete in these markets unless the benefits of our SALEU-fuel nuclear plant using our advanced technology and business model are sufficiently valued. Even in markets that price reliable capacity on a long-term basis, there is no guarantee that our IMSR Plants will be sufficiently low-cost so as to clear auction-style capacity markets, or to attract customers to sign power purchase agreements with our IMSR Plants on commercially acceptable terms, and, further, clearing in any one (1) year is no guarantee of similar outcome in successive years.</w:t>
      </w:r>
    </w:p>
    <w:p>
      <w:pPr>
        <w:spacing w:after="0" w:line="177"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Given the relatively lower electricity prices and higher availability of power in the United States when compared to many international markets, the risk may be greater with respect to business in the United States. Regardless of jurisdiction, however, failure of the cost of electricity and heat generated from our IMSR Plants to be cost competitive with electricity and/or heat generated from other sources, will limit our ability to charge a premium relative to other energy sources, which could materially and adversely affect our business prospects, financial condition, results of operations and cash flows.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2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illustrative unit economics and levelized cost information are subject to significant risks, assumptions, estimates, and uncertainties. As a result, our actual revenues, timing for achieving business milestones, expenses, capital expenditures, profitability and cash flows may differ materially from our expectations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Our illustrative unit economics and levelized cost information are subject to significant risks, assumptions, estimates and uncertainties. They reflect our then-current views with respect to future events or our future financial performance, were based on assumptions, and involved known and unknown risks, uncertainties and other factors which may cause our actual results, performance or achievements to be materially different from any future results, performance or achievements expressed or implied by the illustrative unit economics and levelized cost information that we may provide from time to time. We may not actually achieve the plans, expectations or objectives contemplated by our illustrative unit economics and levelized cost information, and the underlying assumptions may prove incorrect. Such deviations may be due to factors outside our control or currently unknown to us. For example, our actual revenues, timing for achieving business milestones, expenses, capital expenditures, profitability and cash flows may differ materially from our expectations. Therefore, undue reliance should not be placed on any such data.</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IMSR plants may not operate as planned.</w:t>
      </w:r>
    </w:p>
    <w:p>
      <w:pPr>
        <w:spacing w:after="0" w:line="22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The success of our business will depend, among other things, on the amount of electricity and heat produced by the IMSR plants we develop. A number of different factors, including plant start-up issues, degradation of our IMSR Core-unit at a faster rate than anticipated, latent defect, design error, operator error, slow response to outages due to underperforming monitoring systems, poor weather conditions and vandalism or theft could adversely affect the amount of nuclear power produced, and thus reduce revenues. Even if our IMSR plants do perform as expected, external factors such as grid connectivity issues may affect their output. Unplanned outages or prolonged downtown for maintenance and repair typically increase operation and maintenance expenses and reduce revenues as a result of diminished output. We do not have current plans to carry insurance coverage for, or employ other risks sharing structures, to mitigate all risks associated with the successful delivery and performance of the IMSR plant.</w:t>
      </w:r>
    </w:p>
    <w:p>
      <w:pPr>
        <w:spacing w:after="0" w:line="38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Any actual or perceived safety or reliability issues may result in significant reputational harm to our businesses, in addition to tort liability and other costs that may arise. Such issues could result in delaying or cancelling planned deployments of IMSR plants, increased regulation, or other systemic consequences. Our inability to meet safety standards or adverse publicity affecting our reputation as a result of accidents or mechanical failures could have a material adverse effect on our business and financial condition.</w:t>
      </w:r>
    </w:p>
    <w:p>
      <w:pPr>
        <w:spacing w:after="0" w:line="166" w:lineRule="exact"/>
        <w:rPr>
          <w:sz w:val="20"/>
          <w:szCs w:val="20"/>
          <w:color w:val="auto"/>
        </w:rPr>
      </w:pPr>
    </w:p>
    <w:p>
      <w:pPr>
        <w:ind w:left="40" w:right="59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and our customers operate in a politically sensitive environment, and the public perception of nuclear energy and radioactive materials could materially and adversely affect us, our customers, and the markets in which we operate.</w:t>
      </w:r>
    </w:p>
    <w:p>
      <w:pPr>
        <w:spacing w:after="0" w:line="142"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the United States and other countries. The risks associated with uses of radioactive materials, both in our nuclear facilities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In addition, journalists, trade press, and other third parties, potentially including one or more of the agencies with regulatory jurisdiction over us, may publish statements that negatively affect the public or political perception of us. We may also face adverse public or political perception due to a variety of environmental and social factors, including as relevant standards continue to evolve. Stakeholder and policymaker expectations on such matters are not uniform, and any failure to successfully navigate such expectations may result in various adverse impacts. Adverse public opinion or political perceptions could result in increased regulatory requirements and costs or increase the likelihood that our operations are subject to liabilities and adverse claims, and directly affect our customers and indirectly affect our business. In the past, adverse public reaction, increased regulatory scrutiny and related litigation have contributed to extended licensing and construction periods for new nuclear power facilities, sometimes delaying construction schedules by decades or more, or even shutting down operations at already-constructed nuclear power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17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Incidents involving nuclear energy facilities, including accidents, terrorist acts or other high-profile events involving radioactive materials, could materially and adversely affect the public perception of the safety of nuclear energy, and such adverse effects could potentially decrease demand for nuclear energy, increase regulatory requirements and costs, or result in liability or claims that could materially and adversely affect our business.</w:t>
      </w:r>
    </w:p>
    <w:p>
      <w:pPr>
        <w:spacing w:after="0" w:line="169"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7"/>
          <w:szCs w:val="17"/>
          <w:color w:val="auto"/>
        </w:rPr>
        <w:t>Successful execution of our business model is dependent upon public support for nuclear power, in general, in the United States and other countries. Any significant incident affecting a nuclear energy facility could materially damage public perception of nuclear power. Similarly, adverse public reaction to such incidents (for example, incidents involving incidents at Three Mile Island, Chernobyl and most recently Fukushima) led to increased public and regulatory scrutiny, which contributed to extended licensing and construction periods for new nuclear power plants, sometimes delaying construction schedules by decades or more or even shutting down operations at already-constructed nuclear power facilities. If a high-visibility or high-consequence nuclear incident, including the loss or mishandling of nuclear materials, or other event, such as a terrorist attack involving a nuclear facility, occurs, public opposition to nuclear power may increase dramatically, regulatory requirements and costs could become more onerous or prohibitory. Such an incident could also impact customer demand for heat, electricity, or fuel derived from nuclear energy. Any of these effects could materially and adversely affect our business prospects, financial condition, results of operations and cash flows.</w:t>
      </w:r>
    </w:p>
    <w:p>
      <w:pPr>
        <w:spacing w:after="0" w:line="173" w:lineRule="exact"/>
        <w:rPr>
          <w:sz w:val="20"/>
          <w:szCs w:val="20"/>
          <w:color w:val="auto"/>
        </w:rPr>
      </w:pPr>
    </w:p>
    <w:p>
      <w:pPr>
        <w:ind w:left="4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direct and indirect impact on us and our customers from severe weather and other effects of climate change and the economic impacts of the transition to low-emissions energy, could adversely affect our financial condition, operating results, and cash flows.</w:t>
      </w:r>
    </w:p>
    <w:p>
      <w:pPr>
        <w:spacing w:after="0" w:line="160"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Our operations and properties, and those of our customers, may in the future be adversely impacted by flooding, wildfires, high winds, drought and other effects of severe weather conditions that may be caused or exacerbated by climate change. These events can force our customers to suspend operations at impacted properties and may result in significant damage to such properties. Even if these events do not directly impact us or our customers, they may indirectly impact us and our customers through increased insurance, energy or other costs. In addition, although the ongoing transition to low-emissions energy is creating significant opportunities for us and our customers, the transition also presents certain risks, including macroeconomic risks related to higher energy costs and energy shortages, among other things. These direct and indirect impacts from climate change could adversely affect our financial condition, operating results, supply chain and cash flows.</w:t>
      </w:r>
    </w:p>
    <w:p>
      <w:pPr>
        <w:spacing w:after="0" w:line="175" w:lineRule="exact"/>
        <w:rPr>
          <w:sz w:val="20"/>
          <w:szCs w:val="20"/>
          <w:color w:val="auto"/>
        </w:rPr>
      </w:pPr>
    </w:p>
    <w:p>
      <w:pPr>
        <w:ind w:left="40" w:right="2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spacing w:after="0" w:line="160" w:lineRule="exact"/>
        <w:rPr>
          <w:sz w:val="20"/>
          <w:szCs w:val="20"/>
          <w:color w:val="auto"/>
        </w:rPr>
      </w:pPr>
    </w:p>
    <w:p>
      <w:pPr>
        <w:ind w:left="40" w:right="559"/>
        <w:spacing w:after="0" w:line="275" w:lineRule="auto"/>
        <w:rPr>
          <w:sz w:val="20"/>
          <w:szCs w:val="20"/>
          <w:color w:val="auto"/>
        </w:rPr>
      </w:pPr>
      <w:r>
        <w:rPr>
          <w:rFonts w:ascii="Times New Roman" w:cs="Times New Roman" w:eastAsia="Times New Roman" w:hAnsi="Times New Roman"/>
          <w:sz w:val="17"/>
          <w:szCs w:val="17"/>
          <w:color w:val="auto"/>
        </w:rPr>
        <w:t>The occurrence of newsworthy events in the nuclear industry as a whole, including, but not limited to, the delay of major projects, inflated cost adjustments, fluctuations in product pricing strategies, cancellations of public offerings, customer withdrawals, or disruptions in supply chain adversely affect our business in several ways, including:</w:t>
      </w:r>
    </w:p>
    <w:p>
      <w:pPr>
        <w:spacing w:after="0" w:line="163" w:lineRule="exact"/>
        <w:rPr>
          <w:sz w:val="20"/>
          <w:szCs w:val="20"/>
          <w:color w:val="auto"/>
        </w:rPr>
      </w:pPr>
    </w:p>
    <w:p>
      <w:pPr>
        <w:ind w:left="100" w:right="79" w:firstLine="346"/>
        <w:spacing w:after="0" w:line="295" w:lineRule="auto"/>
        <w:tabs>
          <w:tab w:leader="none" w:pos="77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news or events associated with industry peers may lead to decreased investor confidence in the sector, which could impact the broader stock market performance of companies operating within the industry, including the Company.</w:t>
      </w:r>
    </w:p>
    <w:p>
      <w:pPr>
        <w:spacing w:after="0" w:line="146" w:lineRule="exact"/>
        <w:rPr>
          <w:rFonts w:ascii="Times New Roman" w:cs="Times New Roman" w:eastAsia="Times New Roman" w:hAnsi="Times New Roman"/>
          <w:sz w:val="17"/>
          <w:szCs w:val="17"/>
          <w:color w:val="auto"/>
        </w:rPr>
      </w:pPr>
    </w:p>
    <w:p>
      <w:pPr>
        <w:jc w:val="both"/>
        <w:ind w:left="100" w:right="279" w:firstLine="346"/>
        <w:spacing w:after="0" w:line="295" w:lineRule="auto"/>
        <w:tabs>
          <w:tab w:leader="none" w:pos="77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in competitor firms may alter the competitive landscape, affecting market share dynamics, pricing strategies, and overall positioning within the industry. This could impact our ability to retain or expand our market presence.</w:t>
      </w:r>
    </w:p>
    <w:p>
      <w:pPr>
        <w:spacing w:after="0" w:line="146" w:lineRule="exact"/>
        <w:rPr>
          <w:rFonts w:ascii="Times New Roman" w:cs="Times New Roman" w:eastAsia="Times New Roman" w:hAnsi="Times New Roman"/>
          <w:sz w:val="17"/>
          <w:szCs w:val="17"/>
          <w:color w:val="auto"/>
        </w:rPr>
      </w:pPr>
    </w:p>
    <w:p>
      <w:pPr>
        <w:ind w:left="100" w:right="579" w:firstLine="346"/>
        <w:spacing w:after="0" w:line="275" w:lineRule="auto"/>
        <w:tabs>
          <w:tab w:leader="none" w:pos="77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7"/>
          <w:szCs w:val="17"/>
          <w:color w:val="auto"/>
        </w:rPr>
        <w:t>While we implement risk mitigation strategies and highlight our unique business approach and how it differentiates from our peers, there is no guarantee that we will be insulated from the adverse effects of such events and the occurrence of any of these events could negatively impact our business operations and financial condition.</w:t>
      </w:r>
    </w:p>
    <w:p>
      <w:pPr>
        <w:spacing w:after="0" w:line="159" w:lineRule="exact"/>
        <w:rPr>
          <w:sz w:val="20"/>
          <w:szCs w:val="20"/>
          <w:color w:val="auto"/>
        </w:rPr>
      </w:pPr>
    </w:p>
    <w:p>
      <w:pPr>
        <w:ind w:left="40" w:right="2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IMSR Plant involves toxic, hazardous and/or radioactive materials and could result in liability without regard to fault or negligence.</w:t>
      </w:r>
    </w:p>
    <w:p>
      <w:pPr>
        <w:spacing w:after="0" w:line="142" w:lineRule="exact"/>
        <w:rPr>
          <w:sz w:val="20"/>
          <w:szCs w:val="20"/>
          <w:color w:val="auto"/>
        </w:rPr>
      </w:pPr>
    </w:p>
    <w:p>
      <w:pPr>
        <w:jc w:val="both"/>
        <w:ind w:left="40" w:right="79"/>
        <w:spacing w:after="0" w:line="266" w:lineRule="auto"/>
        <w:rPr>
          <w:sz w:val="20"/>
          <w:szCs w:val="20"/>
          <w:color w:val="auto"/>
        </w:rPr>
      </w:pPr>
      <w:r>
        <w:rPr>
          <w:rFonts w:ascii="Times New Roman" w:cs="Times New Roman" w:eastAsia="Times New Roman" w:hAnsi="Times New Roman"/>
          <w:sz w:val="17"/>
          <w:szCs w:val="17"/>
          <w:color w:val="auto"/>
        </w:rPr>
        <w:t>Our customers’ operation of the IMSR Plant and the related supply chain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170"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The IMSR Fuel Salt from each spent IMSR Core-unit is partially reused in each replacement IMSR Core-unit with the excess fuel salt removed and stored in a spent fuel vault within the plant nuclear containment until decommissioning of the IMSR Plant. Furthermore, each spent IMSR Core-unit, emptied of IMSR Fuel Salt, is removed to a separate and secure IMSR Core-unit Storage Silo within the reactor building, where it will remain for the life of the plant. As a result of the IMSR Plant’s spent fuel management process, we do not anticipate the plant requires a separate licensed facility for the interim storage of spent nuclear fuel required by some of our competitors.</w:t>
      </w:r>
    </w:p>
    <w:p>
      <w:pPr>
        <w:spacing w:after="0" w:line="172" w:lineRule="exact"/>
        <w:rPr>
          <w:sz w:val="20"/>
          <w:szCs w:val="20"/>
          <w:color w:val="auto"/>
        </w:rPr>
      </w:pPr>
    </w:p>
    <w:p>
      <w:pPr>
        <w:ind w:left="40" w:right="879"/>
        <w:spacing w:after="0" w:line="295" w:lineRule="auto"/>
        <w:rPr>
          <w:sz w:val="20"/>
          <w:szCs w:val="20"/>
          <w:color w:val="auto"/>
        </w:rPr>
      </w:pPr>
      <w:r>
        <w:rPr>
          <w:rFonts w:ascii="Times New Roman" w:cs="Times New Roman" w:eastAsia="Times New Roman" w:hAnsi="Times New Roman"/>
          <w:sz w:val="17"/>
          <w:szCs w:val="17"/>
          <w:color w:val="auto"/>
        </w:rPr>
        <w:t>Nevertheless, IMSR Plant operations inherently involve the use, transportation, and disposal of toxic, hazardous and radioactive materials.</w:t>
      </w:r>
    </w:p>
    <w:p>
      <w:pPr>
        <w:spacing w:after="0" w:line="146"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Under federal, state and local laws and regulations, a current or former owner or operator of real property may be liable for costs to remediate contamination resulting from the presence or release of hazardous substances, wastes or petroleum products. These costs to the owners and operators of our IMSR Plants could be substantial and liability under such laws is strict and may attach whether or not the owner or operator knew of or caused such contamination. We also may be liable for costs of remediating third-party disposal sites to which we arranged for the disposal or treatment of hazardous substances without regard to whether such disposal occurred in compliance with environmental laws. These matters could have a direct and indirect adverse effect on our financial condition.</w:t>
      </w:r>
    </w:p>
    <w:p>
      <w:pPr>
        <w:spacing w:after="0" w:line="151"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Additionally, we may be responsible for decontamination or decommissioning of facilities where we conduct operations such as facilities for component manufacturing and fuel supply.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131"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7"/>
          <w:szCs w:val="17"/>
          <w:color w:val="auto"/>
        </w:rPr>
        <w:t>Although we do not intend to operate IMSR Plants, IMSR Plants inherently involve radioactive materials and may involve toxic and hazardous materials. In the United States, the nuclear liability law codified at 42 U.S.C. 2210 et seq. (along with subsequent amendments, the “</w:t>
      </w:r>
      <w:r>
        <w:rPr>
          <w:rFonts w:ascii="Times New Roman" w:cs="Times New Roman" w:eastAsia="Times New Roman" w:hAnsi="Times New Roman"/>
          <w:sz w:val="17"/>
          <w:szCs w:val="17"/>
          <w:b w:val="1"/>
          <w:bCs w:val="1"/>
          <w:color w:val="auto"/>
        </w:rPr>
        <w:t>Price-Anderson Act</w:t>
      </w:r>
      <w:r>
        <w:rPr>
          <w:rFonts w:ascii="Times New Roman" w:cs="Times New Roman" w:eastAsia="Times New Roman" w:hAnsi="Times New Roman"/>
          <w:sz w:val="17"/>
          <w:szCs w:val="17"/>
          <w:color w:val="auto"/>
        </w:rPr>
        <w:t>”) and applicable USNRC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financial protection regimes, such as required insurance policies or government indemnification, to cover the operator’s financial risk in the event of a nuclear incident that gives rise to third-party offsite liability. Nonetheless it is possible that we may be liable contractually, or under applicable law, to contribute to remedy damages or other costs arising from such activities of operators or contractors, suppliers, our counterparties, including the decontamination or decommission of third-party facilities. In our contracts, we seek to protect ourselves from liability, but there is no assurance that such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 Long-term spent nuclear fuel storage, disposal and its associated costs could have a significant negative impact on our business operations if IMSR Plant customers view the risks associated with these issues and costs as unacceptably high.</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Nuclear operations inherently produce various types of nuclear waste materials. The approval of a national repository for the storage of such waste materials and the timing of that facility opening may significantly affect the costs associated with the long-term storage of spent IMSR Core-units and IMSR Fuel Salt. Any regulatory action relating to the timing and availability of a repository for long-term storage of nuclear waste could adversely affect the ability to decommission fully our IMSR Plants and IMSR Core-units. We cannot predict whether a fee may be established or to what extent in the future for the long-term disposal of such waste.</w:t>
      </w:r>
    </w:p>
    <w:p>
      <w:pPr>
        <w:spacing w:after="0" w:line="142" w:lineRule="exact"/>
        <w:rPr>
          <w:sz w:val="20"/>
          <w:szCs w:val="20"/>
          <w:color w:val="auto"/>
        </w:rPr>
      </w:pPr>
    </w:p>
    <w:p>
      <w:pPr>
        <w:ind w:left="40" w:right="3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Unsatisfactory safety performance or security incidents at our customers’ facilities — or any nuclear facility around the world — could have a material adverse effect on our business, financial condition and results of operations.</w:t>
      </w:r>
    </w:p>
    <w:p>
      <w:pPr>
        <w:spacing w:after="0" w:line="103"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We design IMSR Plants that depend on complex, unproven technology. We also work cooperatively with our customers, suppliers, subcontractors,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construction, performance and servicing of our IMSR Plants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any such incidents.</w:t>
      </w:r>
    </w:p>
    <w:p>
      <w:pPr>
        <w:spacing w:after="0" w:line="141" w:lineRule="exact"/>
        <w:rPr>
          <w:sz w:val="20"/>
          <w:szCs w:val="20"/>
          <w:color w:val="auto"/>
        </w:rPr>
      </w:pPr>
    </w:p>
    <w:p>
      <w:pPr>
        <w:ind w:left="40" w:right="159"/>
        <w:spacing w:after="0" w:line="264" w:lineRule="auto"/>
        <w:rPr>
          <w:sz w:val="20"/>
          <w:szCs w:val="20"/>
          <w:color w:val="auto"/>
        </w:rPr>
      </w:pPr>
      <w:r>
        <w:rPr>
          <w:rFonts w:ascii="Times New Roman" w:cs="Times New Roman" w:eastAsia="Times New Roman" w:hAnsi="Times New Roman"/>
          <w:sz w:val="17"/>
          <w:szCs w:val="17"/>
          <w:color w:val="auto"/>
        </w:rPr>
        <w:t>Any actual or perceived safety issues may result in significant reputational harm to our businesses, in addition to tort liability, maintenance, increased safety infrastructure and other costs that may arise. Such issues with our IMSR Plants, facilities, or customer safety could result in delaying or cancelling delivery of IMSR Plants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46"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In the nuclear industry, accidents or incidents involving the mishandling of nuclear materials at any nuclear facility in the world have had and, in the future, could have an impact on other nuclear facilities around the world in terms of public acceptance, political pressures, and regulatory requirements and scrutiny. Incidents involving nuclear energy facilities, including accidents, terrorist acts or other high-profile events involving radioactive materials, could materially and adversely affect the public perception of the safety of nuclear energy, and such adverse effects could potentially decrease demand for nuclear energy, increase regulatory requirements and costs for us or our customers, impose delays or result in liability or claims that could materially and adversely affect our business.</w:t>
      </w:r>
    </w:p>
    <w:p>
      <w:pPr>
        <w:spacing w:after="0" w:line="134" w:lineRule="exact"/>
        <w:rPr>
          <w:sz w:val="20"/>
          <w:szCs w:val="20"/>
          <w:color w:val="auto"/>
        </w:rPr>
      </w:pPr>
    </w:p>
    <w:p>
      <w:pPr>
        <w:ind w:left="40" w:right="1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information technology and cyber security threats which could have adverse effects, including regulatory effects, on our business and results of operations.</w:t>
      </w:r>
    </w:p>
    <w:p>
      <w:pPr>
        <w:spacing w:after="0" w:line="103"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 Regarding actual IMSR Plant deployments, we are subject to the USNRC’s regulations in this area, the violation of which could carry regulatory enforcement action.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Despite the implementation of security measures, given their size and complexity and the increasing amounts of confidential information that they maintain, our internal information technology systems and those of our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products could be delayed.</w:t>
      </w:r>
    </w:p>
    <w:p>
      <w:pPr>
        <w:spacing w:after="0" w:line="151"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we maintain databases comprised of our IMSR Plant design technical and engineering information and operations information. If one or more of these databases were to be lost or compromised, our ability to efficiently deploy and operate our IMSR Plants could be significantly impaired.</w:t>
      </w:r>
    </w:p>
    <w:p>
      <w:pPr>
        <w:spacing w:after="0" w:line="131"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but not limited to,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32"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materials and supplied components, some of which are highly specialized and are being designed for first-of-a-kind or sole use in the IMSR Plant. We and our third-party vendors may not be able to obtain sufficient materials or supplied components to meet our manufacturing and operating needs, or obtain such materials on favorable terms or at expected costs.</w:t>
      </w:r>
    </w:p>
    <w:p>
      <w:pPr>
        <w:spacing w:after="0" w:line="143" w:lineRule="exact"/>
        <w:rPr>
          <w:sz w:val="20"/>
          <w:szCs w:val="20"/>
          <w:color w:val="auto"/>
        </w:rPr>
      </w:pPr>
    </w:p>
    <w:p>
      <w:pPr>
        <w:ind w:left="40" w:right="139"/>
        <w:spacing w:after="0" w:line="269" w:lineRule="auto"/>
        <w:rPr>
          <w:sz w:val="20"/>
          <w:szCs w:val="20"/>
          <w:color w:val="auto"/>
        </w:rPr>
      </w:pPr>
      <w:r>
        <w:rPr>
          <w:rFonts w:ascii="Times New Roman" w:cs="Times New Roman" w:eastAsia="Times New Roman" w:hAnsi="Times New Roman"/>
          <w:sz w:val="17"/>
          <w:szCs w:val="17"/>
          <w:color w:val="auto"/>
        </w:rPr>
        <w:t>We rely on a limited number of suppliers for certain raw materials and supplied components. While alternative suppliers to our current suppliers are available, we may not be able to obtain sufficient raw materials or supplied components to meet our manufacturing and operating needs from alternative suppliers, or obtain such materials on favorable terms or at expected costs, which could impair our ability to meet demand in a timely manner or increase our costs of production.</w:t>
      </w:r>
    </w:p>
    <w:p>
      <w:pPr>
        <w:spacing w:after="0" w:line="129"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7"/>
          <w:szCs w:val="17"/>
          <w:color w:val="auto"/>
        </w:rPr>
        <w:t>We do not directly manufacture, and do not expect to manufacture, IMSR Plants, though we will manufacture the IMSR Core-unit and supply the IMSR Fuel Salt that are necessary for the operation of our IMSR Plants. Our ability to construct our IMSR Plants with project partners is dependent upon sufficient availability of raw materials, high quality equipment, parts, and components, including many highly technical components that are still under design, are being designed for first-of-a-kind or sole use in our IMSR Plant and have not yet been qualified for use, are only produced by a limited number of suppliers and may be particularly susceptible to cost increases, supply chain disruptions or inflationary pressures. Any supply chain disruption incurred by our third-party suppliers or degradation in the quality and processes of our manufacturer partners, may result in delays, cost overruns or impairments to the development of our IMSR Plants.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7"/>
          <w:szCs w:val="17"/>
          <w:color w:val="auto"/>
        </w:rPr>
        <w:t>Certain key nuclear grade materials and components, such as graphite, are currently produced in limited quantities and available predominantly from vendors outside of the United States e.g., Germany and Japan. Although U.S. graphite suppliers are developing the capability and capacity to supply our needs, any reliance on foreign suppliers to secure raw materials and supplied components exposes us to changing tariffs and volatility in the prices and availability of these materials, and may result in our being susceptible to changes in geopolitical relationships. We may not be able to obtain a sufficient supply of raw materials or supplied components, on favorable terms or at all, which could result in delays in, or the inability to, manufacture our IMSR Fuel Salt and IMSR Core-unit components and, in turn, construct our IMSR Plants with project partners or result in increased costs. These key materials and components may also be particularly vulnerable to inflationary pressures and cost increases.</w:t>
      </w:r>
    </w:p>
    <w:p>
      <w:pPr>
        <w:spacing w:after="0" w:line="149" w:lineRule="exact"/>
        <w:rPr>
          <w:sz w:val="20"/>
          <w:szCs w:val="20"/>
          <w:color w:val="auto"/>
        </w:rPr>
      </w:pPr>
    </w:p>
    <w:p>
      <w:pPr>
        <w:jc w:val="both"/>
        <w:ind w:left="40" w:right="179"/>
        <w:spacing w:after="0" w:line="264" w:lineRule="auto"/>
        <w:rPr>
          <w:sz w:val="20"/>
          <w:szCs w:val="20"/>
          <w:color w:val="auto"/>
        </w:rPr>
      </w:pPr>
      <w:r>
        <w:rPr>
          <w:rFonts w:ascii="Times New Roman" w:cs="Times New Roman" w:eastAsia="Times New Roman" w:hAnsi="Times New Roman"/>
          <w:sz w:val="17"/>
          <w:szCs w:val="17"/>
          <w:color w:val="auto"/>
        </w:rPr>
        <w:t>Additionally, the imposition of tariffs and impacts of inflation on raw materials or supplied components for our IMSR Plants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and results of operations.</w:t>
      </w:r>
    </w:p>
    <w:p>
      <w:pPr>
        <w:spacing w:after="0" w:line="129" w:lineRule="exact"/>
        <w:rPr>
          <w:sz w:val="20"/>
          <w:szCs w:val="20"/>
          <w:color w:val="auto"/>
        </w:rPr>
      </w:pPr>
    </w:p>
    <w:p>
      <w:pPr>
        <w:ind w:left="40" w:right="23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depend on key executives, management, directors, and other highly skilled personnel with highly technical expertise to execute our business plan and oversee our operations, as applicable. Our failure to successfully recruit and retain experienced and qualified personnel could have a material adverse effect on our business.</w:t>
      </w:r>
    </w:p>
    <w:p>
      <w:pPr>
        <w:spacing w:after="0" w:line="121"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Our success depends, in significant part, on the continued services of our senior management team and on our ability to attract, motivate, develop and retain a sufficient number of other highly skilled personnel, including highly competent engineers and scientists, and other qualified personnel with requisite industry knowledge, manufacturing and quality assurance, finance, marketing and sales personnel. Our senior management team has extensive experience in the energy and manufacturing industries, and we believe that their depth of experience is instrumental to our continued success. Nevertheless, the Company competes with other nuclear reactor companies, including Generation IV reactor companies, for the limited pool of these skilled professionals and such competition is intense.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 Additionally, possible loss of experienced personnel to competitors, and a possible transfer of know-how and trade secrets associated therewith, including the patenting by our competitors of technology built on our know-how obtained through former employees, could negatively affect the Company’s long-term growth prospects. If we are unable to recruit and retain highly skilled personnel, especially senior management and personnel with sufficient technical expertise to develop our IMSR Plants including its component and service supply IMSR, we may experience delays, increased costs and reputational harm.</w:t>
      </w:r>
    </w:p>
    <w:p>
      <w:pPr>
        <w:spacing w:after="0" w:line="358" w:lineRule="exact"/>
        <w:rPr>
          <w:sz w:val="20"/>
          <w:szCs w:val="20"/>
          <w:color w:val="auto"/>
        </w:rPr>
      </w:pPr>
    </w:p>
    <w:p>
      <w:pPr>
        <w:ind w:left="40" w:right="2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ability to protect our patents and other intellectual property rights may be challenged and is not guaranteed. If we are unable to protect our intellectual property rights, our business and competitive position may be harmed.</w:t>
      </w:r>
    </w:p>
    <w:p>
      <w:pPr>
        <w:spacing w:after="0" w:line="103"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We may not be able to prevent unauthorized use of our intellectual property, which could harm our business and competitive position. We rely upon a combination of the intellectual property protections afforded by patents, trademarks/service marks, copyrights and trade secret laws in the United States and other jurisdictions, as well as commercial agreements such as confidentiality agreements, assignment agreements, and license agreements to establish, maintain and enforce rights associated with our IMSR Plants and related proprietary technologies. These measures are aimed at preventing third parties from using, practicing, selling, manufacturing, or otherwise commercially exploiting our IMSR Plants and related technologies, which would erode our competitive position in our market.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enforce patent protection for our IMSR Plants, as well as our ability to operate without infringing or violating the proprietary rights of others. We either own or have significant license rights to certain intellectual property applicable to our IMSR Plant, IMSR Fuel Salts and, key components, such as the IMSR Core Unit, including patent rights and pending patent applications on the same, and we will continue to file patent applications claiming new technologies directed to our IMSR Plants in the United States and in other jurisdictions based on several factors including, but not limited to, commercial viability. Monitoring unauthorized use of our intellectual property rights is difficult and costly, and the steps we have taken or will take to prevent misappropriation may not be sufficient.</w:t>
      </w:r>
    </w:p>
    <w:p>
      <w:pPr>
        <w:spacing w:after="0" w:line="177"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As noted above, we also rely upon unpatented trade secret protection, unpatented know-how and continuing technological innovation to develop and help maintain our business and competitive position.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is expensive and time consuming, and the outcome is unpredictable. Courts outside the United States are sometimes less willing to protect trade secrets. 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386"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7"/>
          <w:szCs w:val="17"/>
          <w:color w:val="auto"/>
        </w:rPr>
        <w:t>The patent position of our IMSR Plant and its key components is not a guarantee of protection or rights. During the patent prosecution process, a patent office may require us or our licensors to narrow the scope of the claims of our or our licensors’ pending and future patent applications. This may limit the scope of patent protection and our or our licensors’ ability to assert patent infringement if the patent is subsequently issued. In some cases, a patent may not issue if we or our licensors are unable to overcome rejections from a patent office. By pursuing patent rights by filing a patent,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the</w:t>
      </w:r>
    </w:p>
    <w:p>
      <w:pPr>
        <w:spacing w:after="0" w:line="3"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7"/>
          <w:szCs w:val="17"/>
          <w:color w:val="auto"/>
        </w:rPr>
        <w:t>United States), we cannot guarantee that we will obtain a corresponding patent in another jurisdiction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China) as patent laws differ from jurisdiction to jurisdiction. Additionally, maintaining and enforcing patent rights can involve complex legal and factual questions and may be subject to litigation in some cases. For example, third parties may challenge the validity of our or our licensors’ patents based on prior art at a tribunal such as the Patent Trial and Appeal Board at the U.S. Patent and Trademark Office and in a federal court. Because we cannot assure that all of the potentially relevant prior art relating to our patents and patent applications has been found, third parties may prevail in invalidating a patent or preventing a patent application from being issued as a patent. If we or our licensors are able to maintain valid patents or prevail in patent challenges instituted by third parties, we or our licensors may still bear the risk of third parties “designing around” our technologies to avoid an intellectual property infringement claim.</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7"/>
          <w:szCs w:val="17"/>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published pending patent applications and unpublished pending patent applications owned by others exist in the fields in which we have developed and are developing our technology. In addition to the risk of infringing those patents, those patents and patent applications owned by others may also be used as a basis to invalidate our patents or prevent our patent applications from issuing as patents. Our patents may also be challenged as invalid under other prior art and/or be challenged as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5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Even if our patent applications succeed and we are issued patents in accordance with those applications,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of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patent applications. From time to time, we may develop technology with funding from the United States Department of Energy. Inventions conceived or first actually reduced to practice under agreements with the Department of Energy (“</w:t>
      </w:r>
      <w:r>
        <w:rPr>
          <w:rFonts w:ascii="Times New Roman" w:cs="Times New Roman" w:eastAsia="Times New Roman" w:hAnsi="Times New Roman"/>
          <w:sz w:val="17"/>
          <w:szCs w:val="17"/>
          <w:b w:val="1"/>
          <w:bCs w:val="1"/>
          <w:color w:val="auto"/>
        </w:rPr>
        <w:t>subject inventions</w:t>
      </w:r>
      <w:r>
        <w:rPr>
          <w:rFonts w:ascii="Times New Roman" w:cs="Times New Roman" w:eastAsia="Times New Roman" w:hAnsi="Times New Roman"/>
          <w:sz w:val="17"/>
          <w:szCs w:val="17"/>
          <w:color w:val="auto"/>
        </w:rPr>
        <w:t>”) grant the U.S. Government certain rights and impose specific obligations on our ability to practice and license these inventions. The U.S. Government also has march-in rights, although it has never exercised such rights, to require us to license a patent on subject inventions on reasonable terms under very limited circumstances. In addition, patents issued to us could be infringed or designed around by others and others may obtain patents that we need to license or design around, either of which would increase costs and may adversely affect our business, prospects, financial condition and operation results.</w:t>
      </w:r>
    </w:p>
    <w:p>
      <w:pPr>
        <w:spacing w:after="0" w:line="347" w:lineRule="exact"/>
        <w:rPr>
          <w:sz w:val="20"/>
          <w:szCs w:val="20"/>
          <w:color w:val="auto"/>
        </w:rPr>
      </w:pPr>
    </w:p>
    <w:p>
      <w:pPr>
        <w:jc w:val="both"/>
        <w:ind w:left="40" w:right="1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currently enjoy only limited geographical protection with respect to certain issued patents and trademarks and may not be able to protect our intellectual property rights throughout the world. If we are unable to protect our intellectual property rights, our business and competitive position may be harmed.</w:t>
      </w:r>
    </w:p>
    <w:p>
      <w:pPr>
        <w:spacing w:after="0" w:line="121"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We do not have worldwide patent rights for our IMSR Plant and related proprietary technologies because there is no such thing as worldwide or “international patent rights.” We also do not have worldwide trademark protection for our brand for similar reasons. Accordingly, we may not be able to protect our intellectual property rights in certain jurisdictions and their legal systems. Filing, prosecuting and defending patents on our IMSR Plant worldwide can pose several challenges. First, procuring patent rights in multiple jurisdictions may be cost prohibitive because individual patent offices in different jurisdictions will have to independently examine each patent application. Therefore, costs such as examination fees, translation fees and attorneys’ fees are considered when deciding whether to pursue patent protections in a given jurisdiction. Once a patent is registered,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as noted above,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53"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4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need to defend ourselves against intellectual property infringement claims, which may be time-consuming and could cause us to incur substantial fees and costs.</w:t>
      </w:r>
    </w:p>
    <w:p>
      <w:pPr>
        <w:spacing w:after="0" w:line="116"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Companies, organizations or individuals, including our existing and future competitors, may hold or obtain patents, trademarks/service marks or other intellectual property rights that would prevent, limit or interfere with our ability to develop our intellectual property and make, use, develop, import, offer to sell or sell our IMSR Plants and its related proprietary technologies, which could make it more difficult for us to operate the Company. From time to time, we may receive inquiries from holders of patents or trademarks/service marks inquiring whether we are infringing their proprietary rights and/or seek court declarations that they do not infringe our intellectual property rights. Companies holding patents or other intellectual property rights similar to our technology may bring proceedings alleging infringement of such rights or otherwise asserting their rights and seeking licenses. In addition, if we are determined to have infringed a third party’s intellectual property rights, we may be required to do among other things, one or more of the following: (i) cease selling, incorporating or using IMSR Plants that incorporate the challenged intellectual property;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focus and attention.</w:t>
      </w:r>
    </w:p>
    <w:p>
      <w:pPr>
        <w:spacing w:after="0" w:line="349"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We also anticipate licensing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127" w:lineRule="exact"/>
        <w:rPr>
          <w:sz w:val="20"/>
          <w:szCs w:val="20"/>
          <w:color w:val="auto"/>
        </w:rPr>
      </w:pPr>
    </w:p>
    <w:p>
      <w:pPr>
        <w:ind w:left="40" w:right="3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IMSR Plants.</w:t>
      </w:r>
    </w:p>
    <w:p>
      <w:pPr>
        <w:spacing w:after="0" w:line="11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because there may be hundreds of thousands of relevant patents worldwide. We also cannot be certain that we have identified each and every third-party patent and pending application in the United States and abroad that is relevant to or necessary for the commercialization of our IMSR Plants in any jurisdiction. The scope of a patent claim is generally determined by an interpretation of the law, the written disclosure in a patent, and the patent’s prosecution history. Our interpretation of the relevance or the scope of a patent or a pending application may be incorrect or not accepted by a court of competent jurisdiction. Our determination of the expiration date of any patent in the United States or abroad that we consider relevant may be incorrect or inaccurate. Our failure to identify and correctly interpret relevant patents may negatively impact our ability to develop and market our IMSR Plants.</w:t>
      </w:r>
    </w:p>
    <w:p>
      <w:pPr>
        <w:spacing w:after="0" w:line="175"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There are several circumstances under which a patent application may not be published and accessible to us or our licensors. For example, patent applications in the United States and many foreign jurisdictions are typically not published until 18 months after filing, but some patent applications in the United States may be maintained in secrecy until the patents are issued. Publications in the scientific literature also often lag behind actual discoveries. Therefore, we cannot be certain that others have not filed patent applications for technology covered by our issued patents or our pending applications, or that we were the first to invent the technology or to file a patent application covering the technology. Our competitors may have filed, and may in the future file, patent applications covering our IMSR Plants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39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Customization and hybridization of the Thermal and Electric Facility may require additional research and development and/or reliance on external service providers.</w:t>
      </w:r>
    </w:p>
    <w:p>
      <w:pPr>
        <w:spacing w:after="0" w:line="116"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7"/>
          <w:szCs w:val="17"/>
          <w:color w:val="auto"/>
        </w:rPr>
        <w:t>We believe the IMSR Thermal and Electric Facility can be customized by the adaption of existing industrial technologies although we cannot provide assurance that will be the case. Should this not be the case, customization and hybridization of the Thermal and Electric Facility for specific applications may require extensive research and development programs and/or the development of new technologies. We have little experience of customization of the IMSR Thermal and Electric Facility and its hybridization with other energy systems and may rely on others to provide these services. As such, the timeline and cost of commercializing customized IMSR Plants will be longer than we currently anticipate.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of ownership and other rights to our patents and other intellectual property by third parties.</w:t>
      </w:r>
    </w:p>
    <w:p>
      <w:pPr>
        <w:spacing w:after="0" w:line="187"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Our confidentiality and intellectual property assignment agreements with our employees, consultants, and contractors generally provide that inventions conceived by the party in the course of rendering services to us will be our exclusive intellectual property and are required to be assigned to us if necessary. While we require our employees, consultants, and contractors to assign such intellectual property to us in the event that the intellectual property is not automatically assigned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as work made for hire), those agreements may not be honored and obligations to assign intellectual property may be challenged or breached. Moreover, there may be some circumstances, where we are unable to negotiate for such ownership rights and others misappropriate those rights in the process.</w:t>
      </w:r>
    </w:p>
    <w:p>
      <w:pPr>
        <w:spacing w:after="0" w:line="151"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owner, a joint owner, a licensee, an inventor, or a co-inventor. In the latter two cases,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exclusive ownership of, or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Some of our management team have limited experience in operating a public company.</w:t>
      </w:r>
    </w:p>
    <w:p>
      <w:pPr>
        <w:spacing w:after="0" w:line="18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While several of our board members have experience as directors of publicly traded companies, some of 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need to add additional personnel with the appropriate level of knowledge, experience, and training in the accounting policies, practices or internal controls over financial reporting to maintain what is required of public companies in the United States. The development and implementation of the standards and controls necessary for us to maintain the level of accounting standards required of a public company in the United States may require costs greater than expected. We could be required to expand our employee base and hire additional employees to support our operations as a public company, which will increase our operating costs in future periods.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Compliance with the reporting obligations under the United States securities laws and Section 404 of Sarbanes-Oxley requires expenditures of capital and other resources and may divert management’s attention. If we fail to comply with these reporting obligations or to maintain adequate internal controls our operations, and investors’ confidence in us, could be materially and adversely affected.</w:t>
      </w:r>
    </w:p>
    <w:p>
      <w:pPr>
        <w:spacing w:after="0" w:line="143" w:lineRule="exact"/>
        <w:rPr>
          <w:sz w:val="20"/>
          <w:szCs w:val="20"/>
          <w:color w:val="auto"/>
        </w:rPr>
      </w:pPr>
    </w:p>
    <w:p>
      <w:pPr>
        <w:ind w:left="40" w:right="259"/>
        <w:spacing w:after="0" w:line="266" w:lineRule="auto"/>
        <w:rPr>
          <w:sz w:val="20"/>
          <w:szCs w:val="20"/>
          <w:color w:val="auto"/>
        </w:rPr>
      </w:pPr>
      <w:r>
        <w:rPr>
          <w:rFonts w:ascii="Times New Roman" w:cs="Times New Roman" w:eastAsia="Times New Roman" w:hAnsi="Times New Roman"/>
          <w:sz w:val="17"/>
          <w:szCs w:val="17"/>
          <w:color w:val="auto"/>
        </w:rPr>
        <w:t>We are required to comply with the periodic reporting obligations of the Exchange Act, Sarbanes-Oxley and other applicable securities rules and regulations, including the preparation of annual reports, quarterly reports, and current reports. Complying with these rules and regulations could cause us to incur additional legal and financial compliance costs and make some activities more difficult, time-consuming and costly. Further, by complying with public disclosure requirements, our business and financial condition are more visible, which may result in increased threatened or actual litigation.</w:t>
      </w:r>
    </w:p>
    <w:p>
      <w:pPr>
        <w:spacing w:after="0" w:line="13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Management may not be able to effectively and timely implement controls and procedures that adequately respond to the increased regulatory compliance and reporting requirements that will be applicable after the Business Combination. If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 could potentially subject us to sanctions or investigations by the SEC, the exchange upon which our securities are listed or other regulatory authorities, which would require additional financial and management resources.</w:t>
      </w:r>
    </w:p>
    <w:p>
      <w:pPr>
        <w:spacing w:after="0" w:line="142"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If we fail to timely meet our reporting obligations under the Exchange Act, Sarbanes-Oxley and other applicable securities rules and regulations in their entirety, we could be subject to penalties under federal securities laws and regulations of the Nasdaq and face lawsuits, and we will not be able to obtain independent accountant certifications required for public companies under Sarbanes-Oxley.</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Compliance with Law, Government Regulation and Litigation</w:t>
      </w:r>
    </w:p>
    <w:p>
      <w:pPr>
        <w:spacing w:after="0" w:line="181" w:lineRule="exact"/>
        <w:rPr>
          <w:sz w:val="20"/>
          <w:szCs w:val="20"/>
          <w:color w:val="auto"/>
        </w:rPr>
      </w:pPr>
    </w:p>
    <w:p>
      <w:pPr>
        <w:ind w:left="40" w:right="35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subject to the policies, priorities, regulations, mandates and funding levels of governmental entities and may be negatively or positively impacted by any change thereto.</w:t>
      </w:r>
    </w:p>
    <w:p>
      <w:pPr>
        <w:spacing w:after="0" w:line="10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From time to time, we may be subject to a wide variety of laws and regulations relating to various aspects of our business, including with respect to use and possession of radioactive materials; design, manufacture, operations, marketing and export of nuclear technologies; employment and labor; tax; data security of the operational and information technology we use; health and safety; zoning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who are also subject to extensive governmental regulation. Our efforts to comply with new and changing laws and regulations may result in increased general and administrative expenses and a diversion of management time and attention.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referred to herein as “regulatory approvals”).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Failure to comply with these laws may result in civil penalties or private lawsuits, or the suspension or revocation of those regulatory approvals, which would prevent us from operating our business. With respect to our IMSR Plants, we and our customers require regulatory approval from the USNRC or other relevant regulators to construct and operate the IMSR Plants, and any additional local and state permitting requirements, as needed, including with respect to nuclear safety, environmental, and financial qualification, among other requirements. Similar regulatory approvals apply to Terrestrial Energy’s ability to develop the manufacturing capacity to supply IMSR Core-units and IMSR Fuel Salt to its customers. Our plans to deploy IMSR Plants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IMSR Plants, and may also provide opportunities for third parties to lodge objections or seek more stringent requirements for our IMSR Plants. Failure to comply with these laws, obtain the required regulatory approvals, or receive exemptions from such regulations when available could result in regulatory enforcement, violations, fines, penalties, or the inability to operate our business. Any delays in regulatory approvals could also adversely affect our and our project partners’ ability to meet construction and operation timelines and thereby affect our financial performance.</w:t>
      </w:r>
    </w:p>
    <w:p>
      <w:pPr>
        <w:spacing w:after="0" w:line="386" w:lineRule="exact"/>
        <w:rPr>
          <w:sz w:val="20"/>
          <w:szCs w:val="20"/>
          <w:color w:val="auto"/>
        </w:rPr>
      </w:pPr>
    </w:p>
    <w:p>
      <w:pPr>
        <w:ind w:left="40" w:right="2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U.S. government’s budget deficit and the national debt, as well as any inability of the U.S. government to complete its budget or appropriations process for any government fiscal year could have an adverse impact on our or our customers’ business, financial condition, results of operations and cash flows.</w:t>
      </w:r>
    </w:p>
    <w:p>
      <w:pPr>
        <w:spacing w:after="0" w:line="134"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7"/>
          <w:szCs w:val="17"/>
          <w:color w:val="auto"/>
        </w:rPr>
        <w:t>The U.S. government’s budget deficit and the national debt, along with any negotiated resolution to increase or suspend the so-called debt ceiling, as well as any inability of the U.S. government to complete its budget process for any government</w:t>
      </w:r>
    </w:p>
    <w:p>
      <w:pPr>
        <w:spacing w:after="0" w:line="1" w:lineRule="exact"/>
        <w:rPr>
          <w:sz w:val="20"/>
          <w:szCs w:val="20"/>
          <w:color w:val="auto"/>
        </w:rPr>
      </w:pPr>
    </w:p>
    <w:p>
      <w:pPr>
        <w:ind w:left="40" w:right="159"/>
        <w:spacing w:after="0" w:line="264" w:lineRule="auto"/>
        <w:rPr>
          <w:sz w:val="20"/>
          <w:szCs w:val="20"/>
          <w:color w:val="auto"/>
        </w:rPr>
      </w:pPr>
      <w:r>
        <w:rPr>
          <w:rFonts w:ascii="Times New Roman" w:cs="Times New Roman" w:eastAsia="Times New Roman" w:hAnsi="Times New Roman"/>
          <w:sz w:val="17"/>
          <w:szCs w:val="17"/>
          <w:color w:val="auto"/>
        </w:rPr>
        <w:t>fiscal year and consequently having to shut down or operate on funding levels equivalent to its prior fiscal year pursuant to a “continuing resolution,” could have an adverse direct or indirect impact on our or our customers’ business, financial condition, results of operations and cash flows.</w:t>
      </w:r>
    </w:p>
    <w:p>
      <w:pPr>
        <w:spacing w:after="0" w:line="133"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Considerable uncertainty exists regarding how future budget and program decisions will unfold, including the energy spending priorities of the U.S. government, what challenges budget reductions will present for the energy industry and whether annual appropriations bills for all agencies will be enacted by the U.S. government in a given fiscal year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prospects, financial condition, results of operations and cash flows in a number of ways, including the following:</w:t>
      </w:r>
    </w:p>
    <w:p>
      <w:pPr>
        <w:spacing w:after="0" w:line="138" w:lineRule="exact"/>
        <w:rPr>
          <w:sz w:val="20"/>
          <w:szCs w:val="20"/>
          <w:color w:val="auto"/>
        </w:rPr>
      </w:pPr>
    </w:p>
    <w:p>
      <w:pPr>
        <w:ind w:left="100" w:right="619" w:firstLine="346"/>
        <w:spacing w:after="0" w:line="295" w:lineRule="auto"/>
        <w:tabs>
          <w:tab w:leader="none" w:pos="7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government could reduce or delay its spending on, reprioritize its spending away from, or decline to provide funding for the government programs in which we participate;</w:t>
      </w:r>
    </w:p>
    <w:p>
      <w:pPr>
        <w:spacing w:after="0" w:line="119" w:lineRule="exact"/>
        <w:rPr>
          <w:rFonts w:ascii="Times New Roman" w:cs="Times New Roman" w:eastAsia="Times New Roman" w:hAnsi="Times New Roman"/>
          <w:sz w:val="17"/>
          <w:szCs w:val="17"/>
          <w:color w:val="auto"/>
        </w:rPr>
      </w:pPr>
    </w:p>
    <w:p>
      <w:pPr>
        <w:ind w:left="100" w:right="139" w:firstLine="346"/>
        <w:spacing w:after="0" w:line="295" w:lineRule="auto"/>
        <w:tabs>
          <w:tab w:leader="none" w:pos="7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spending could be impacted by arrangements similar in effect to sequestration, which increases the uncertainty as to U.S. government spending priorities and levels; and</w:t>
      </w:r>
    </w:p>
    <w:p>
      <w:pPr>
        <w:spacing w:after="0" w:line="106" w:lineRule="exact"/>
        <w:rPr>
          <w:rFonts w:ascii="Times New Roman" w:cs="Times New Roman" w:eastAsia="Times New Roman" w:hAnsi="Times New Roman"/>
          <w:sz w:val="17"/>
          <w:szCs w:val="17"/>
          <w:color w:val="auto"/>
        </w:rPr>
      </w:pPr>
    </w:p>
    <w:p>
      <w:pPr>
        <w:ind w:left="100" w:right="139" w:firstLine="346"/>
        <w:spacing w:after="0" w:line="275" w:lineRule="auto"/>
        <w:tabs>
          <w:tab w:leader="none" w:pos="7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declines in revenue, profitability and cash flows as a result of reduced or delayed demand or payments or other factors caused by economic difficulties of our customers and prospective customers, including U.S. federal, state and local governments.</w:t>
      </w:r>
    </w:p>
    <w:p>
      <w:pPr>
        <w:spacing w:after="0" w:line="163"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These factors may become exacerbated by rising interest rates as more U.S. government spending must be appropriated to servicing the national debt or if a deal to increase or suspend the debt ceiling reduces, or blocks previously proposed increases in, government programs in which we participate. In the event we receive or benefit from significant support from state, local or non-U.S. governmental support, similar factors may impact such support as well. Furthermore, we believe continued budget pressures could have negative consequences for the nuclear energy industry and the customers, employees, suppliers, investors and communities that rely on companies in the nuclear energy industry. Budget and program decisions made in this environment would have long-term implications for us and the entire nuclear energy industry.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1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pursue government awards involving cost-share related to our R&amp;D work, which could be affected by our failure to comply with certain laws and regulations.</w:t>
      </w:r>
    </w:p>
    <w:p>
      <w:pPr>
        <w:spacing w:after="0" w:line="11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From time to time, we may pursue federal funds under grants and cooperative agreements, in which case we would be required to comply with various statutes and regulations applicable to entities that perform awards in support of government entities. We must also comply with various national policy requirements that are prescribed by statute, Executive Order, policy guidance issued by the Executive Office of the President, or other regulations. Our performance under our U.S. government awards and our compliance with the terms of those awards and applicable laws and regulations would be subject to periodic audit, review, and investigation by various agencies of the U.S. government. Compliance with these laws and regulations may affect how we do business and may impose added costs on our business. Failure to comply may also lead to civil or criminal penalties, including whole or partial suspension or termination of our U.S. government awards, and/or suspension or debarment from contracting with federal agencies.</w:t>
      </w:r>
    </w:p>
    <w:p>
      <w:pPr>
        <w:spacing w:after="0" w:line="132" w:lineRule="exact"/>
        <w:rPr>
          <w:sz w:val="20"/>
          <w:szCs w:val="20"/>
          <w:color w:val="auto"/>
        </w:rPr>
      </w:pPr>
    </w:p>
    <w:p>
      <w:pPr>
        <w:ind w:left="40" w:right="7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Uncertain global macro-economic and political conditions could materially adversely affect our business prospects, financial condition, results of operations and cash flow.</w:t>
      </w:r>
    </w:p>
    <w:p>
      <w:pPr>
        <w:spacing w:after="0" w:line="142"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Our results of operations are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70"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7"/>
          <w:szCs w:val="17"/>
          <w:color w:val="auto"/>
        </w:rPr>
        <w:t>The ongoing war in Ukraine has escalated tensions between the United States, and its North Atlantic Treaty Organization (“NATO”) allies on one hand, and Russia on the other. These developments or other tensions in the future may continue to contribute to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raw materials, component manufacturing, reactor fuel and deliveries. These disruptions may result in delays in equipment deliveries and cost escalations that could adversely affect our business prospects, financial condition, results of operations and cash flows.</w:t>
      </w:r>
    </w:p>
    <w:p>
      <w:pPr>
        <w:spacing w:after="0" w:line="173" w:lineRule="exact"/>
        <w:rPr>
          <w:sz w:val="20"/>
          <w:szCs w:val="20"/>
          <w:color w:val="auto"/>
        </w:rPr>
      </w:pPr>
    </w:p>
    <w:p>
      <w:pPr>
        <w:ind w:left="40" w:right="17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and our suppliers are subject to stringent U.S. export and import control laws and regulations and analogous laws and regulations in other jurisdictions. Unfavorable changes in these laws and regulations or U.S. government or other relevant government licensing policies, our failure to secure timely U.S. government or other relevant government authorizations under such laws and regulations, or our failure to comply with such laws and regulations could have a material adverse effect on our business prospects, financial condition, results of operations and cash flows.</w:t>
      </w:r>
    </w:p>
    <w:p>
      <w:pPr>
        <w:spacing w:after="0" w:line="170"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7"/>
          <w:szCs w:val="17"/>
          <w:color w:val="auto"/>
        </w:rPr>
        <w:t>Our and our suppliers’ inability to secure and maintain required export or import licenses or authorizations in applicable jurisdictions could negatively impact our ability to compete successfully or develop or market our IMSR technology for commercial applications in and outside the United States. For example, if we were unable to obtain or maintain licenses to export our IMSR technology or certain hardware to a particular country, we would be effectively prohibited from exporting our IMSR technology in that country, which would limit the number of customers to those in the United States and in countries where we are able to secure licenses (or where licenses are not required). If we were unable to obtain authorization to export our technology, hardware, code or technical assistance, we would experience a limited market for our technology, which would provide a commercial advantage to international suppliers of nuclear plant technology that is competitive to ours. In these cases, these restrictions could lead to an adverse impact on our ability to sell our commercial technology. Similarly, if we were unable to secure export or import authorizations, we may need to implement design changes to our IMSR Plants to address issues with our supplier chain, which may increase costs or result in delays in delivery of new plants and subsequent additional IMSR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0" w:right="199"/>
        <w:spacing w:after="0" w:line="266" w:lineRule="auto"/>
        <w:rPr>
          <w:sz w:val="20"/>
          <w:szCs w:val="20"/>
          <w:color w:val="auto"/>
        </w:rPr>
      </w:pPr>
      <w:r>
        <w:rPr>
          <w:rFonts w:ascii="Times New Roman" w:cs="Times New Roman" w:eastAsia="Times New Roman" w:hAnsi="Times New Roman"/>
          <w:sz w:val="17"/>
          <w:szCs w:val="17"/>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or other relevant government. Any changes in export control regulations or U.S. or other government licensing policy, such as that necessary to implement U.S. government commitments to multilateral control regimes, may restrict our operations.</w:t>
      </w:r>
    </w:p>
    <w:p>
      <w:pPr>
        <w:spacing w:after="0" w:line="166" w:lineRule="exact"/>
        <w:rPr>
          <w:sz w:val="20"/>
          <w:szCs w:val="20"/>
          <w:color w:val="auto"/>
        </w:rPr>
      </w:pPr>
    </w:p>
    <w:p>
      <w:pPr>
        <w:ind w:left="40" w:right="1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part of the nuclear power industry, which is highly regulated. Our molten salt nuclear fuel form differs from fuel forms currently licensed and used by commercial nuclear power plants, and our IMSR technology differs from reactor technology currently in commercial operation, including with respect to potential industrial uses. As a result, the regulatory licensing and approval process for our IMSR Plants may be delayed and made more costly, and industry acceptance of our nuclear fuels may be hampered.</w:t>
      </w:r>
    </w:p>
    <w:p>
      <w:pPr>
        <w:spacing w:after="0" w:line="170"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nuclear power industry is highly regulated. All entities that operate nuclear power facilities, fabricate nuclear fuel and transport nuclear materials in the United States are subject to the jurisdiction of the USNRC (except for those facilities and applications separately regulated by the DOE), and entities performing the same activities in other countries are subject to regulation by the USNRC’s counterparts around the world. Our IMSR Fuel Salt differs significantly in some respects from the fuel form used today by commercial nuclear power facilities. These differences may result in a longer and more extensive review by the USNRC and its counterparts around the world, which could cause fuel development program delays and delays in commercialization. Similarly, our IMSR design differs significantly in some respects from the nuclear reactors used today at commercial nuclear power facilities. These differences could result in more prolonged and extensive review by the USNRC and its counterparts around the world that could cause reactor development program delays and delays in commercialization. Under the Atomic Energy Act and the implementing USNRC regulations, members of the public, state, or tribal governments may request a public hearing opposing the issuance of any USNRC permit or license, or challenging portions of the license or permit application or of the USNRC’s review. Certain USNRC actions also include provision for a mandatory administrative hearing regardless of whether any contentions are submitted in conjunction with the action. These hearing processes may delay or prevent the issuance of required regulatory approvals (e.g., permits or licenses) for our IMSR reactors.</w:t>
      </w:r>
    </w:p>
    <w:p>
      <w:pPr>
        <w:spacing w:after="0" w:line="179"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7"/>
          <w:szCs w:val="17"/>
          <w:color w:val="auto"/>
        </w:rPr>
        <w:t>While we have planned for engagements with any other nuclear regulators, such as the Office of Nuclear Regulation in the United Kingdom, to date we have only engaged with the USNRC and CNSC. Any planned international expansion will increase our exposure to U.S. export control laws as well as laws and regulations of foreign jurisdictions the impact of which cannot be predicted at this time. Exports to other countries may require cooperation from the United States or other governments and may result in shortages and delays if not accomplished within assumed timelines or costs. Additionally, we may require U.S. approvals in order to import certain materials and components which may be predominantly produced outside of the United States. We must obtain governmental licenses to transport, possess, and use radioactive materials, including isotopes of uranium, in our operations. These are generally granted as part of operations licensing. Our IMSR Plant project developer and operator customers will also require licensing and approvals, from initial approval or licensing through construction and operations and into decommissioning. Failure to obtain or maintain, or delays in obtaining, such licenses could have a material adverse effect on our business prospects, financial condition, results of operations and cash flows.</w:t>
      </w:r>
    </w:p>
    <w:p>
      <w:pPr>
        <w:spacing w:after="0" w:line="177"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Our IMSR Fuel Salt development timeline relies on the relevant nuclear regulator to accept and approve technical information and documentation about our reactor fuel that is generated during the fuel qualification program. For example, we started our engagement with the USNRC in 2017, entering a pre-application phase of the U.S. nuclear regulatory process, which is guided by our regulator engagement plan, which we periodically update and file with the USNRC. There is a risk that regulators may require additional information regarding the fuel’s behavior or performance that necessitates additional, unplanned analytical and/or experimental work which could cause schedule delays and require more research and development funding. Similarly, our reactor development timeline relies on the relevant nuclear regulator to accept and approve technical information and documentation about our IMSR Plant design in the course of any design-specific licensing, certification, approval or similar process, or in the course of facility-specific licensing. There is a risk that regulators may require additional information regarding the IMSR Plant’s behavior or performance that necessitates additional, unplanned analytical and/or experimental work which could cause schedule delays and require more research and development funding.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must complete nuclear material qualifications in a manner compliant with regulatory standards and obtain regulatory approvals for the use of various materials in our IMSR design. This includes long lead-time irradiation testing and analysis, which may require redesign or use of alternative suppliers if results are unsatisfactory. Further, certain key nuclear grade materials and components, such as graphite, are only produced in limited quantity and predominantly outside of the United States.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spacing w:after="0" w:line="176"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equipment, components, and materials used in a nuclear power plant are subject to a heightened level of manufacturing and quality assurance scrutiny, in compliance with USNRC regulations, applicable codes and nuclear industry standards. Moreover, it is critical to demonstrate in facility design and development that the materials used in the facility that will be exposed to radiation will perform in accordance with necessary design parameters. The heightened manufacturing and quality assurance requirements and regulatory oversight limit the number of potential suppliers from whom we can procure many types of equipment, components, and materials used in our IMSR Plant, as well as the types of facilities where we can test certain materials. These suppliers and the key materials and essential components may be particularly vulnerable to price increases, as a result of supply and demand dynamics, inflation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construct and deploy our IMSR Plants. This could impact our project timelines and costs, as well as affect potential customer interest in our IMSR Plant design.</w:t>
      </w:r>
    </w:p>
    <w:p>
      <w:pPr>
        <w:spacing w:after="0" w:line="388"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IMSR Plant design has not yet been approved or licensed for use by the USNRC or the Canadian Nuclear Safety Commission at any site, and approval or licensing of these designs is not guaranteed. Further, the Company does not intend to act as the licensee, owner, or operator of IMSR Plants. Our business model is based on the supply of nuclear reactor systems, fuel, and engineering services to owner-operator customers who are responsible for securing all necessary regulatory approvals and financings. Unfavorable changes in the laws and regulations or other relevant government licensing policies applicable to our customers, or the failure of our customers to secure timely relevant government authorizations under such laws and regulations or to secure necessary financing to operate IMSR Plants, could have a material adverse effect on our business prospects, financial condition, results of operations and cash flows.</w:t>
      </w:r>
    </w:p>
    <w:p>
      <w:pPr>
        <w:spacing w:after="0" w:line="176"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Terrestrial Energy has completed the CNSC Vendor Design Review process to systematically identify any fundamental barriers to licensing in the Canadian market, with no fundamental barriers to licensing identified by the CNSC. Terrestrial Energy is similarly engaged with the USNRC to address technical, policy, and programmatic matters ahead of formal application review. We started our engagement with the USNRC in 2017, entering a pre-application phase of the U.S. nuclear regulatory process guided by our regulator engagement plan. This plan anticipates that we will seek as applicant 10 C.F.R. Part 52 Standard Design Approval of the IMSR.</w:t>
      </w:r>
    </w:p>
    <w:p>
      <w:pPr>
        <w:spacing w:after="0" w:line="172"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Notwithstanding those actions, the IMSR Plant design has not yet been licensed, certified or approved by the USNRC or the CNSC, and no currently operating USNRC- or CNSC-regulated reactor uses molten salt reactor technology. The USNRC has not advanced our status from the pre-application phase of the U.S. nuclear regulatory process. Additionally, no commercial nuclear reactor that is not water cooled is currently operating in the U.S. under an USNRC-issued license, and no advanced fission technology has been approved for commercial operation by the USNRC and, pending regulatory activity may not be finalized on timelines favorable to its commercialization schedule, or may impose requirements more onerous than anticipated.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39"/>
        <w:spacing w:after="0" w:line="263" w:lineRule="auto"/>
        <w:rPr>
          <w:sz w:val="20"/>
          <w:szCs w:val="20"/>
          <w:color w:val="auto"/>
        </w:rPr>
      </w:pPr>
      <w:r>
        <w:rPr>
          <w:rFonts w:ascii="Times New Roman" w:cs="Times New Roman" w:eastAsia="Times New Roman" w:hAnsi="Times New Roman"/>
          <w:sz w:val="17"/>
          <w:szCs w:val="17"/>
          <w:color w:val="auto"/>
        </w:rPr>
        <w:t>The USNRC has the authority to issue notices of violation for violations of Title 10 of the Code of Federal Regulations, executing the Atomic Energy Act of 1954, as amended (the “Atomic Energy Act”), USNRC’s regulations and conditions of licenses, certificates of compliance, and orders. The USNRC has authority to impose civil penalties (the maximum amount of which is adjusted annually to account for inflation) or additional requirements and to order cessation of operations for violations of these requirements. Penalties under the USNRC regulations and applicable agency guidelines could include substantial fines, imposition of additional requirements, or withdrawal or suspension of licenses or certificates and criminal penalties.</w:t>
      </w:r>
    </w:p>
    <w:p>
      <w:pPr>
        <w:spacing w:after="0" w:line="386"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7"/>
          <w:szCs w:val="17"/>
          <w:color w:val="auto"/>
        </w:rPr>
        <w:t>If the USNRC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USNRC or CNSC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 and have a material adverse effect on our business prospects, financial condition, results of operations and cash flows.</w:t>
      </w:r>
    </w:p>
    <w:p>
      <w:pPr>
        <w:spacing w:after="0" w:line="179"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IMSR Plant projects are expected to be financed at the project level by consortium participants, including operators, offtakers, suppliers, and third-party investors, potentially including the public sector, and those parties may be unable to raise sufficient capital, may face higher-than-expected costs of capital, or may impose conditions that delay or prevent a project from proceeding. We do not control, and may have limited visibility into, the financial condition, capital structure, or financing strategy of any particular owner-operator or project consortium. The failure of any consortium participant to fulfill its financing commitments, the withdrawal of a key participant, or the inability of the consortium to close project-level financing could result in a project being delayed, restructured, or abandoned entirely, which would in turn delay or eliminate the revenues we expect to derive from that project.</w:t>
      </w:r>
    </w:p>
    <w:p>
      <w:pPr>
        <w:spacing w:after="0" w:line="175" w:lineRule="exact"/>
        <w:rPr>
          <w:sz w:val="20"/>
          <w:szCs w:val="20"/>
          <w:color w:val="auto"/>
        </w:rPr>
      </w:pPr>
    </w:p>
    <w:p>
      <w:pPr>
        <w:ind w:left="40" w:right="7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agency budgets as well as staffing shortages at national laboratories and other government agencies may lengthen our estimated timelines for regulatory approval and construction.</w:t>
      </w:r>
    </w:p>
    <w:p>
      <w:pPr>
        <w:spacing w:after="0" w:line="142"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color w:val="auto"/>
        </w:rPr>
        <w:t>Certain of our IMSR Plant’s components and materials including IMSR Fuel Salt production are dependent upon collaborations with national laboratories and/or various regulatory approvals. Government agency budgets and staffing are driven by the priorities of leadership at federal agencies as well as policy makers. Changes in government agency budgets, personnel, and any resulting staffing shortages may delay operating of our IMSR Plants, including IMSR Fuel Salt production and delay or prevent the issuance of required regulatory approvals (e.g., permits or licenses) for our nuclear facilities.</w:t>
      </w:r>
    </w:p>
    <w:p>
      <w:pPr>
        <w:spacing w:after="0" w:line="166" w:lineRule="exact"/>
        <w:rPr>
          <w:sz w:val="20"/>
          <w:szCs w:val="20"/>
          <w:color w:val="auto"/>
        </w:rPr>
      </w:pPr>
    </w:p>
    <w:p>
      <w:pPr>
        <w:jc w:val="both"/>
        <w:ind w:left="40" w:right="19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Even if the IMSR Plant is licensed in the United States or Canada, we must still obtain approvals on a country-by-country basis to deploy these reactor technologies, which approvals may be delayed or denied or which may require modification to our design.</w:t>
      </w:r>
    </w:p>
    <w:p>
      <w:pPr>
        <w:spacing w:after="0" w:line="160" w:lineRule="exact"/>
        <w:rPr>
          <w:sz w:val="20"/>
          <w:szCs w:val="20"/>
          <w:color w:val="auto"/>
        </w:rPr>
      </w:pPr>
    </w:p>
    <w:p>
      <w:pPr>
        <w:jc w:val="both"/>
        <w:ind w:left="40" w:right="79"/>
        <w:spacing w:after="0" w:line="263" w:lineRule="auto"/>
        <w:rPr>
          <w:sz w:val="20"/>
          <w:szCs w:val="20"/>
          <w:color w:val="auto"/>
        </w:rPr>
      </w:pPr>
      <w:r>
        <w:rPr>
          <w:rFonts w:ascii="Times New Roman" w:cs="Times New Roman" w:eastAsia="Times New Roman" w:hAnsi="Times New Roman"/>
          <w:sz w:val="17"/>
          <w:szCs w:val="17"/>
          <w:color w:val="auto"/>
        </w:rPr>
        <w:t>Even if the IMSR Plant is licensed, certified and/or approved in the United States or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w:t>
      </w:r>
    </w:p>
    <w:p>
      <w:pPr>
        <w:spacing w:after="0" w:line="2"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7"/>
          <w:szCs w:val="17"/>
          <w:color w:val="auto"/>
        </w:rPr>
        <w:t>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USNRC process or the CNSC process, or they may require that we alter aspects of our design before providing approval. Denial or delay in approvals abroad could materially and adversely affect our business outside of the United States and Canada.</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6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There is no assurance that nuclear regulators will accept the exclusion of the Thermal and Electric Facility from the operating license requirements for the IMSR Plant.</w:t>
      </w:r>
    </w:p>
    <w:p>
      <w:pPr>
        <w:spacing w:after="0" w:line="142"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We believe the Thermal and Electric Facility of the IMSR Plant is outside the scope of nuclear regulation based on our understanding of nuclear regulatory requirements following our completed VDR engagement with the CNSC. However, there is no assurance that a nuclear regulator will accept the exclusion of the Thermal and Electric Facility. If this is not the case, our pursuit of new markets with novel applications will be severely limited and will likely exclude the use of natural gas for initial thermal energy supply and as back-up during full operation of the IMSR Plant.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customers could incur substantial costs as a result of violations of, or liabilities under, environmental laws.</w:t>
      </w:r>
    </w:p>
    <w:p>
      <w:pPr>
        <w:spacing w:after="0" w:line="226"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operations and properties of our customers are subject to a variety of federal, state, local and foreign environmental, health and safety laws and regulations governing, among other things, air emissions, wastewater discharges, management and disposal of hazardous, non-hazardous and radioactive materials and waste and remediation of releases of hazardous materials. Although our business is to design and sell our IMSR Plant design and supply key components and services, rather than to construct and own or operate power plants, we must design our IMSR Plant so it complies with such laws and regulations. Compliance with environmental requirements could require our customers to incur significant expenditures or result in significant restrictions on their operations, and the failure to comply with such laws and regulations, including failing to obtain any necessary permits, could result in substantial fines or enforcement actions, including regulatory or judicial orders enjoining or curtailing operations or requiring our customers to conduct or fund remedial or corrective measures, install pollution control equipment or perform other actions. More vigorous enforcement by regulatory agencies, the future enactment of more stringent laws, regulations or permit requirements, including relating to climate change, or other unanticipated events may arise in the future and adversely impact the market for our products or demand for our products from our customers, which could materially and adversely affect our business, financial condition and results of operations.</w:t>
      </w:r>
    </w:p>
    <w:p>
      <w:pPr>
        <w:spacing w:after="0" w:line="178" w:lineRule="exact"/>
        <w:rPr>
          <w:sz w:val="20"/>
          <w:szCs w:val="20"/>
          <w:color w:val="auto"/>
        </w:rPr>
      </w:pPr>
    </w:p>
    <w:p>
      <w:pPr>
        <w:ind w:left="40" w:right="8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and regulations governing the use, transportation, and disposal of toxic, hazardous and/or radioactive materials. Failure to comply with these laws and regulations could result in substantial fines and/or enforcement actions.</w:t>
      </w:r>
    </w:p>
    <w:p>
      <w:pPr>
        <w:spacing w:after="0" w:line="160"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7"/>
          <w:szCs w:val="17"/>
          <w:color w:val="auto"/>
        </w:rPr>
        <w:t>With respect to our component manufacturing and fuel supply both in the United States and abroad, our operations will be subject to a variety of federal, state, local environmental, health and safety laws and regulations governing, among other things, air emissions, wastewater discharges, management and disposal of hazardous, non-hazardous, and radioactive materials and waste and remediation of releases of hazardous materials. Additionally, we are responsible for decommissioning of facilities where we conduct, or previously conducted, commercial, USNRC-licensed, operations.</w:t>
      </w:r>
    </w:p>
    <w:p>
      <w:pPr>
        <w:spacing w:after="0" w:line="170"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7"/>
          <w:szCs w:val="17"/>
          <w:color w:val="auto"/>
        </w:rPr>
        <w:t>We may be liable if we fail to comply with federal, state, and local environmental, health and safety laws and regulations. Failing to comply with such laws and regulations, including failing to obtain any necessary permits, could result in substantial fines or enforcement actions. This might require us to stop or curtail operations or conduct or fund remedial or corrective measures, make additional investments into safety-related improvements or perform other actions. The enactment of more stringent laws, regulations or permit requirements or other unanticipated events may arise in the future and adversely impact the market for our products, which could materially and adversely affect our business, financial condition, and results of operations. We could incur substantial costs as a result of a violation of, or liabilities under, environmental laws.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prospects and financial results.</w:t>
      </w:r>
    </w:p>
    <w:p>
      <w:pPr>
        <w:spacing w:after="0" w:line="226"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7"/>
          <w:szCs w:val="17"/>
          <w:color w:val="auto"/>
        </w:rPr>
        <w:t>We will be subject to taxes in the United States and certain foreign jurisdictions. Due to economic and political conditions, tax rates in various jurisdictions, including the United States, may be subject to change. Our future effective tax rates could be affected by changes in the mix of earnings in countries with differing statutory tax rates, changes in the valuation of deferred tax assets and liabilities and changes in tax laws or their interpretation. We may be subject to income tax audits by various tax jurisdictions. An adverse resolution by one or more taxing authorities could have a material impact on our finances. Further, we may be unable to utilize any net operating losses in the event a change in control is determined to have occurred.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2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litigation that may materially adversely affect our business, financial condition and results of operations.</w:t>
      </w:r>
    </w:p>
    <w:p>
      <w:pPr>
        <w:spacing w:after="0" w:line="142"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7"/>
          <w:szCs w:val="17"/>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We are currently not a party to any material litigation. However, if any legitimate cause of action arose which was successfully prosecuted against us, the operations, results of operations or financial condition of the Company could be adversely affected. Because litigation is inherently unpredictable, we cannot assure you that the results of any of these actions will not have a material adverse effect on our business.</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Capital Resources</w:t>
      </w:r>
    </w:p>
    <w:p>
      <w:pPr>
        <w:spacing w:after="0" w:line="200"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17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Our business plan is capital intensive. We cannot be certain when or if our operations will generate sufficient cash to fully fund our ongoing operations or the growth of our business. We intend to continue to make investments to support our business, and expect that significant additional capital will be needed in the future to continue our planned operations, including commercialization efforts, expanded research and development activities and costs associated with operating a public company..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Pursuant to the Terrestrial Energy Incentive Plan, which will become effective upon the Closing, our board is authorized to grant compensatory equity awards to our employees, directors and consultants. If the number of shares reserved under our Terrestrial Energy Incentive Plan is increased pursuant to the terms of the Terrestrial Energy Incentive Plan, our stockholders may experience additional dilution, which could cause our stock price to fall. Any of the above events could significantly harm our business, prospects, financial condition and results of operations and cause the price of our common stock to decline.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corporate expenditures, including our corporate level outspend, are subject to numerous risks and uncertainties.</w:t>
      </w:r>
    </w:p>
    <w:p>
      <w:pPr>
        <w:spacing w:after="0" w:line="226"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7"/>
          <w:szCs w:val="17"/>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and results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an adverse impact from inflation and rising costs.</w:t>
      </w:r>
    </w:p>
    <w:p>
      <w:pPr>
        <w:spacing w:after="0" w:line="226"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7"/>
          <w:szCs w:val="17"/>
          <w:color w:val="auto"/>
        </w:rPr>
        <w:t>Over the last several years, inflation has increased to its highest level in decades. 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IMSR Plants, which could have a material adverse effect on our business, financial condition and results of operations. In particular, higher interest rates can have significant impact on the total cost on long-term development and constructions projects such as power plants. Accordingly, higher interest rates may make it more difficult to obtain contracts and customers for the IMSR Plant.</w:t>
      </w:r>
    </w:p>
    <w:p>
      <w:pPr>
        <w:spacing w:after="0" w:line="176" w:lineRule="exact"/>
        <w:rPr>
          <w:sz w:val="20"/>
          <w:szCs w:val="20"/>
          <w:color w:val="auto"/>
        </w:rPr>
      </w:pPr>
    </w:p>
    <w:p>
      <w:pPr>
        <w:ind w:left="40" w:right="4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a history of financial losses and may not achieve profitability in the future. We will need substantial additional capital to complete the design of the IMSR Plant and fund our operations.</w:t>
      </w:r>
    </w:p>
    <w:p>
      <w:pPr>
        <w:spacing w:after="0" w:line="142"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7"/>
          <w:szCs w:val="17"/>
          <w:color w:val="auto"/>
        </w:rPr>
        <w:t>We expect our operating expenses to increase over the next several years and expect to continue to incur operating losses for the foreseeable future as we continue to expand and develop, and we will need additional capital from external sources, regardless of redemption levels. If we are unable to raise additional capital we will have to make significant adjustments to our business plan which could impact some of our strategic objectives and significantly delay, scale back or discontinue one or more or all of our research and development programs. We may be required to cease operations or seek partners for our technologies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have a material adverse effect on our business prospects, financial condition, results of operations and cash flows.</w:t>
      </w:r>
    </w:p>
    <w:p>
      <w:pPr>
        <w:spacing w:after="0" w:line="173" w:lineRule="exact"/>
        <w:rPr>
          <w:sz w:val="20"/>
          <w:szCs w:val="20"/>
          <w:color w:val="auto"/>
        </w:rPr>
      </w:pPr>
    </w:p>
    <w:p>
      <w:pPr>
        <w:ind w:left="40" w:right="4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Future indebtedness could expose us to risks that could adversely affect our business, financial condition and results of operations.</w:t>
      </w:r>
    </w:p>
    <w:p>
      <w:pPr>
        <w:spacing w:after="0" w:line="142" w:lineRule="exact"/>
        <w:rPr>
          <w:sz w:val="20"/>
          <w:szCs w:val="20"/>
          <w:color w:val="auto"/>
        </w:rPr>
      </w:pPr>
    </w:p>
    <w:p>
      <w:pPr>
        <w:ind w:left="40" w:right="439"/>
        <w:spacing w:after="0" w:line="295" w:lineRule="auto"/>
        <w:rPr>
          <w:sz w:val="20"/>
          <w:szCs w:val="20"/>
          <w:color w:val="auto"/>
        </w:rPr>
      </w:pPr>
      <w:r>
        <w:rPr>
          <w:rFonts w:ascii="Times New Roman" w:cs="Times New Roman" w:eastAsia="Times New Roman" w:hAnsi="Times New Roman"/>
          <w:sz w:val="17"/>
          <w:szCs w:val="17"/>
          <w:color w:val="auto"/>
        </w:rPr>
        <w:t>In the future, we may incur indebtedness. Such indebtedness could have significant negative consequences for our security holders, business, results of operations and financial condition by, among other things:</w:t>
      </w:r>
    </w:p>
    <w:p>
      <w:pPr>
        <w:spacing w:after="0" w:line="146" w:lineRule="exact"/>
        <w:rPr>
          <w:sz w:val="20"/>
          <w:szCs w:val="20"/>
          <w:color w:val="auto"/>
        </w:rPr>
      </w:pPr>
    </w:p>
    <w:p>
      <w:pPr>
        <w:ind w:left="760" w:hanging="314"/>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222"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w:t>
      </w:r>
    </w:p>
    <w:p>
      <w:pPr>
        <w:spacing w:after="0" w:line="222" w:lineRule="exact"/>
        <w:rPr>
          <w:rFonts w:ascii="Times New Roman" w:cs="Times New Roman" w:eastAsia="Times New Roman" w:hAnsi="Times New Roman"/>
          <w:sz w:val="17"/>
          <w:szCs w:val="17"/>
          <w:color w:val="auto"/>
        </w:rPr>
      </w:pPr>
    </w:p>
    <w:p>
      <w:pPr>
        <w:ind w:left="100" w:right="179" w:firstLine="346"/>
        <w:spacing w:after="0" w:line="295"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dedication of a substantial portion of our cash flow from operations to service our indebtedness, which will reduce the amount of cash available for other purposes;</w:t>
      </w:r>
    </w:p>
    <w:p>
      <w:pPr>
        <w:spacing w:after="0" w:line="146"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to plan for, or react to, changes in our business; and</w:t>
      </w:r>
    </w:p>
    <w:p>
      <w:pPr>
        <w:spacing w:after="0" w:line="222" w:lineRule="exact"/>
        <w:rPr>
          <w:rFonts w:ascii="Times New Roman" w:cs="Times New Roman" w:eastAsia="Times New Roman" w:hAnsi="Times New Roman"/>
          <w:sz w:val="17"/>
          <w:szCs w:val="17"/>
          <w:color w:val="auto"/>
        </w:rPr>
      </w:pPr>
    </w:p>
    <w:p>
      <w:pPr>
        <w:ind w:left="100" w:right="479" w:firstLine="346"/>
        <w:spacing w:after="0" w:line="295" w:lineRule="auto"/>
        <w:tabs>
          <w:tab w:leader="none" w:pos="7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7"/>
          <w:szCs w:val="17"/>
          <w:color w:val="auto"/>
        </w:rPr>
        <w:t>Should we incur additional indebtedness in the future, 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actual operating results may differ significantly from any guidance we may provide.</w:t>
      </w:r>
    </w:p>
    <w:p>
      <w:pPr>
        <w:spacing w:after="0" w:line="200"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From time to time, we may release guidance in our quarterly earnings releases, quarterly earnings conference calls, or otherwise once we are a public company, regarding our future performance that represents our management’s estimates as of the date of release. This guidance, which would include forward-looking statements, would be based on projections prepared by our management. Should we provide projections, we do not expect that they would be prepared with a view toward compliance with published guidelines of the American Institute of Certified Public Accountants, and neither our registered public accountants nor any other independent expert or outside party is expected to compile or examine the projections. Accordingly, no such person currently expresses, or in the future would be expected to express, any opinion or any other form of assurance with respect to the projections.</w:t>
      </w:r>
    </w:p>
    <w:p>
      <w:pPr>
        <w:spacing w:after="0" w:line="140"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pandemics and public health emergencies, the Russia-Ukraine conflict and the effects of changes to interest rates and inflation on our cost estimates and expectations, and are based upon specific assumptions with respect to future business decisions, some of which will change. Any material change to the assumptions or estimates underlying the projections management may prepare,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Actual results may vary from our guidance and the variations may be material. The principal reason that we may from time to time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44" w:lineRule="exact"/>
        <w:rPr>
          <w:sz w:val="20"/>
          <w:szCs w:val="20"/>
          <w:color w:val="auto"/>
        </w:rPr>
      </w:pPr>
    </w:p>
    <w:p>
      <w:pPr>
        <w:ind w:left="40" w:right="59"/>
        <w:spacing w:after="0" w:line="275" w:lineRule="auto"/>
        <w:rPr>
          <w:sz w:val="20"/>
          <w:szCs w:val="20"/>
          <w:color w:val="auto"/>
        </w:rPr>
      </w:pPr>
      <w:r>
        <w:rPr>
          <w:rFonts w:ascii="Times New Roman" w:cs="Times New Roman" w:eastAsia="Times New Roman" w:hAnsi="Times New Roman"/>
          <w:sz w:val="17"/>
          <w:szCs w:val="17"/>
          <w:color w:val="auto"/>
        </w:rPr>
        <w:t>Any failure to successfully implement our operating strategy or the occurrence of any of the events or circumstances set forth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could result in our actual operating results being different from our guidance, and the differences may be adverse and material.</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may vary significantly from quarter to quarter.</w:t>
      </w:r>
    </w:p>
    <w:p>
      <w:pPr>
        <w:spacing w:after="0" w:line="187"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129" w:lineRule="exact"/>
        <w:rPr>
          <w:sz w:val="20"/>
          <w:szCs w:val="20"/>
          <w:color w:val="auto"/>
        </w:rPr>
      </w:pPr>
    </w:p>
    <w:p>
      <w:pPr>
        <w:ind w:left="40" w:right="139"/>
        <w:spacing w:after="0" w:line="295" w:lineRule="auto"/>
        <w:rPr>
          <w:sz w:val="20"/>
          <w:szCs w:val="20"/>
          <w:color w:val="auto"/>
        </w:rPr>
      </w:pPr>
      <w:r>
        <w:rPr>
          <w:rFonts w:ascii="Times New Roman" w:cs="Times New Roman" w:eastAsia="Times New Roman" w:hAnsi="Times New Roman"/>
          <w:sz w:val="17"/>
          <w:szCs w:val="17"/>
          <w:color w:val="auto"/>
        </w:rPr>
        <w:t>Additional factors that may cause our financial results to fluctuate from quarter to quarter include those addressed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and the following factors, among others:</w:t>
      </w:r>
    </w:p>
    <w:p>
      <w:pPr>
        <w:spacing w:after="0" w:line="120" w:lineRule="exact"/>
        <w:rPr>
          <w:sz w:val="20"/>
          <w:szCs w:val="20"/>
          <w:color w:val="auto"/>
        </w:rPr>
      </w:pPr>
    </w:p>
    <w:p>
      <w:pPr>
        <w:ind w:left="760" w:hanging="314"/>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customer contracts that affect the timing of revenue recognition;</w:t>
      </w:r>
    </w:p>
    <w:p>
      <w:pPr>
        <w:spacing w:after="0" w:line="183"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variability in demand for our services and solutions;</w:t>
      </w:r>
    </w:p>
    <w:p>
      <w:pPr>
        <w:spacing w:after="0" w:line="183"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completion or termination of contracts during any particular quarter;</w:t>
      </w:r>
    </w:p>
    <w:p>
      <w:pPr>
        <w:spacing w:after="0" w:line="196"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shipments and product deliveries;</w:t>
      </w:r>
    </w:p>
    <w:p>
      <w:pPr>
        <w:spacing w:after="0" w:line="183"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significant bid and proposal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remediating unknown defects, errors or performance problems of our product offerings;</w:t>
      </w:r>
    </w:p>
    <w:p>
      <w:pPr>
        <w:spacing w:after="0" w:line="196"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and delays related to the export of nuclear articles and services;</w:t>
      </w:r>
    </w:p>
    <w:p>
      <w:pPr>
        <w:spacing w:after="0" w:line="183"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government inquiries;</w:t>
      </w:r>
    </w:p>
    <w:p>
      <w:pPr>
        <w:spacing w:after="0" w:line="183"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and joint ventures;</w:t>
      </w:r>
    </w:p>
    <w:p>
      <w:pPr>
        <w:spacing w:after="0" w:line="196"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or changes in business strategy;</w:t>
      </w:r>
    </w:p>
    <w:p>
      <w:pPr>
        <w:spacing w:after="0" w:line="222"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extent to which we use subcontractors;</w:t>
      </w:r>
    </w:p>
    <w:p>
      <w:pPr>
        <w:spacing w:after="0" w:line="222" w:lineRule="exact"/>
        <w:rPr>
          <w:rFonts w:ascii="Times New Roman" w:cs="Times New Roman" w:eastAsia="Times New Roman" w:hAnsi="Times New Roman"/>
          <w:sz w:val="17"/>
          <w:szCs w:val="17"/>
          <w:color w:val="auto"/>
        </w:rPr>
      </w:pPr>
    </w:p>
    <w:p>
      <w:pPr>
        <w:ind w:left="100" w:right="339" w:firstLine="346"/>
        <w:spacing w:after="0" w:line="295" w:lineRule="auto"/>
        <w:tabs>
          <w:tab w:leader="none" w:pos="77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effective tax rate, including changes in our judgment as to the necessity of the valuation allowance recorded against our deferred tax assets; and</w:t>
      </w:r>
    </w:p>
    <w:p>
      <w:pPr>
        <w:spacing w:after="0" w:line="146" w:lineRule="exact"/>
        <w:rPr>
          <w:rFonts w:ascii="Times New Roman" w:cs="Times New Roman" w:eastAsia="Times New Roman" w:hAnsi="Times New Roman"/>
          <w:sz w:val="17"/>
          <w:szCs w:val="17"/>
          <w:color w:val="auto"/>
        </w:rPr>
      </w:pPr>
    </w:p>
    <w:p>
      <w:pPr>
        <w:ind w:left="760" w:hanging="314"/>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sales cycles.</w:t>
      </w:r>
    </w:p>
    <w:p>
      <w:pPr>
        <w:spacing w:after="0" w:line="218" w:lineRule="exact"/>
        <w:rPr>
          <w:sz w:val="20"/>
          <w:szCs w:val="20"/>
          <w:color w:val="auto"/>
        </w:rPr>
      </w:pPr>
    </w:p>
    <w:p>
      <w:pPr>
        <w:ind w:left="40" w:right="33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our accounting estimates and assumptions could negatively affect the reporting of our financial position and results of operations.</w:t>
      </w:r>
    </w:p>
    <w:p>
      <w:pPr>
        <w:spacing w:after="0" w:line="103"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recoverability of assets including customer receivables, contingencies, valuation of financial instruments, stock-based compensation</w:t>
      </w:r>
    </w:p>
    <w:p>
      <w:pPr>
        <w:spacing w:after="0" w:line="133" w:lineRule="exact"/>
        <w:rPr>
          <w:sz w:val="20"/>
          <w:szCs w:val="20"/>
          <w:color w:val="auto"/>
        </w:rPr>
      </w:pPr>
    </w:p>
    <w:p>
      <w:pPr>
        <w:ind w:left="40" w:right="159" w:firstLine="44"/>
        <w:spacing w:after="0" w:line="266" w:lineRule="auto"/>
        <w:rPr>
          <w:sz w:val="20"/>
          <w:szCs w:val="20"/>
          <w:color w:val="auto"/>
        </w:rPr>
      </w:pPr>
      <w:r>
        <w:rPr>
          <w:rFonts w:ascii="Times New Roman" w:cs="Times New Roman" w:eastAsia="Times New Roman" w:hAnsi="Times New Roman"/>
          <w:sz w:val="17"/>
          <w:szCs w:val="17"/>
          <w:color w:val="auto"/>
        </w:rPr>
        <w:t>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Risks Related to our Securities</w:t>
      </w:r>
    </w:p>
    <w:p>
      <w:pPr>
        <w:spacing w:after="0" w:line="181" w:lineRule="exact"/>
        <w:rPr>
          <w:sz w:val="20"/>
          <w:szCs w:val="20"/>
          <w:color w:val="auto"/>
        </w:rPr>
      </w:pPr>
    </w:p>
    <w:p>
      <w:pPr>
        <w:ind w:left="40" w:right="7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incur additional costs as a public company that reports to the SEC and our management is required to devote substantial time to meet compliance obligations.</w:t>
      </w:r>
    </w:p>
    <w:p>
      <w:pPr>
        <w:spacing w:after="0" w:line="103"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These rules and regulations increase our legal, accounting and financial compliance costs and make some activities more time-consuming and costly. For example, these rules and regulations may make it more difficult and more expensive for us to obtain directors’ and officers’ liability insurance, which could make it more difficult for us to attract and retain qualified members of our board of directors.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will also need to hire additional personnel to support our financial reporting function and may face challenges in doing so.</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Terrestrial Energy’s securities may decline.</w:t>
      </w:r>
    </w:p>
    <w:p>
      <w:pPr>
        <w:spacing w:after="0" w:line="20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Fluctuations in the price of our common stock could contribute to the loss of all or part of your investment. The trading price of our common stock could be volatile and subject to wide fluctuations in response to various factors, some of which are beyond Terrestrial Energy’s control. Inflationary pressures, increases in interest rates and other adverse economic and market forces may contribute to potential downward pressures in market value of our common stock. Additionally, any of the risk factors discussed in this annual report could have a material adverse effect on your investment and our common stock may trade at prices significantly below the price you paid for them. In such circumstances, the trading price of our common stock may not recover and may experience a further decline.</w:t>
      </w:r>
    </w:p>
    <w:p>
      <w:pPr>
        <w:spacing w:after="0" w:line="138"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common stock irrespective of Terrestrial Energy’s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Terrestrial Energy could depress Terrestrial Energy’s share price regardless of Terrestrial Energy’s business, prospects, financial conditions or results of operations. A decline in the market price of Terrestrial Energy’s securities also could adversely affect Terrestrial Energy’s ability to issue additional securities and Terrestrial Energy’s ability to obtain additional financing in the future.</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There is no guarantee that our warrants will ever be in the money, and they may expire worthless.</w:t>
      </w:r>
    </w:p>
    <w:p>
      <w:pPr>
        <w:spacing w:after="0" w:line="200" w:lineRule="exact"/>
        <w:rPr>
          <w:sz w:val="20"/>
          <w:szCs w:val="20"/>
          <w:color w:val="auto"/>
        </w:rPr>
      </w:pPr>
    </w:p>
    <w:p>
      <w:pPr>
        <w:ind w:left="40" w:right="279"/>
        <w:spacing w:after="0" w:line="295" w:lineRule="auto"/>
        <w:rPr>
          <w:sz w:val="20"/>
          <w:szCs w:val="20"/>
          <w:color w:val="auto"/>
        </w:rPr>
      </w:pPr>
      <w:r>
        <w:rPr>
          <w:rFonts w:ascii="Times New Roman" w:cs="Times New Roman" w:eastAsia="Times New Roman" w:hAnsi="Times New Roman"/>
          <w:sz w:val="17"/>
          <w:szCs w:val="17"/>
          <w:color w:val="auto"/>
        </w:rPr>
        <w:t>The average exercise price for our warrants is $8.24 per share of common stock, subject to adjustment. There is no guarantee that the warrants will ever be in the money prior to their expiration, and as such, the warrants may expire worthless.</w:t>
      </w:r>
    </w:p>
    <w:p>
      <w:pPr>
        <w:spacing w:after="0" w:line="103" w:lineRule="exact"/>
        <w:rPr>
          <w:sz w:val="20"/>
          <w:szCs w:val="20"/>
          <w:color w:val="auto"/>
        </w:rPr>
      </w:pPr>
    </w:p>
    <w:p>
      <w:pPr>
        <w:ind w:left="40" w:right="35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Your unexpired public warrants may be redeemed prior to their exercise at a time that is disadvantageous to you, thereby making your public warrants worthless.</w:t>
      </w:r>
    </w:p>
    <w:p>
      <w:pPr>
        <w:spacing w:after="0" w:line="103"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7"/>
          <w:szCs w:val="17"/>
          <w:color w:val="auto"/>
        </w:rPr>
        <w:t>Our outstanding publicly traded warrants (Nasdaq: IMSRW) (the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 (20) trading days within a thirty (30) trading-day period ending on the third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7"/>
          <w:szCs w:val="17"/>
          <w:color w:val="auto"/>
        </w:rPr>
        <w:t>) trading day prior to the date Terrestrial Energy sends the notice of redemption to the Public Warrant holders. If and when the warrants become redeemable by Terrestrial Energy, Terrestrial Energy may not exercise its redemption rights if the issuance of common stock upon exercise of the Public Warrants is not exempt from registration or qualification under applicable state blue sky laws or Terrestrial Energy is unable to effect such registration or qualification, subject to Terrestrial Energy’s obligation in such case to use its best efforts to register or qualify the common stock under the blue sky laws of the state of residence in those states in which the Public Warrants were initially offered in our IPO.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Public Warrants.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The Warrants may have an adverse effect on the market price of the Terrestrial Common Shares.</w:t>
      </w:r>
    </w:p>
    <w:p>
      <w:pPr>
        <w:spacing w:after="0" w:line="187"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7"/>
          <w:szCs w:val="17"/>
          <w:color w:val="auto"/>
        </w:rPr>
        <w:t>Terrestrial has outstanding warrants to purchase up to an aggregate of 30,267,119 shares of our common stock. Such Warrants, when exercised, will increase the number of issued and outstanding shares and may reduce the market price of our common stock. The common stock issuable upon such exercises may represent overhang that may adversely affect the market price of our common stock. Overhang occurs when there is a greater supply of a company’s stock in the market than there is demand for that stock. When this happens the price of our stock could decrease, and any additional shares which stockholders attempt to sell in the market may only further decrease the share price. If the share volume of our common stock cannot absorb shares sold by holders of our outstanding convertible securities, then the value of our common stock will likely decrease.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40" w:right="23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Certificate of Incorporation provides, subject to limited exceptions, that the courts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3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The Certificate of Incorporation requires, to the fullest extent permitted by law, that derivative actions brought in our name, actions against directors, officers and employees for breach of fiduciary duty and other similar actions may be brought in the Court of Chancery of the State of Delaware or, if that court does not have jurisdiction, a state court located within the State of Delaware or the federal district court for the District of Delaware. Any person or entity purchasing or otherwise acquiring any interest in shares of our capital stock shall be deemed to have notice of and consented to the forum provisions in the Certificate of Incorporation. In addition, the Certificate of Incorporation provides that this choice of forum does not apply to any complaint asserting a cause of action under the Securities Act and the Exchange Act. Finally, the Certificate of Incorporation provides that federal district courts of the United States will be the exclusive forum for the resolution of any complaint asserting a cause of action under the Securities Act or the Exchange Act.</w:t>
      </w:r>
    </w:p>
    <w:p>
      <w:pPr>
        <w:spacing w:after="0" w:line="13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While the Delaware Supreme Court has upheld provisions of the certificates of incorporation of other Delaware corporations that are similar to the exclusive forum provision in the Certificate of Incorporation, there is uncertainty as to whether courts will enforce the exclusive forum provision in the Certificate of Incorporation. In that regard, Section 22 of the Securities Act provides that federal and state courts have concurrent jurisdiction over lawsuits brought under the Securities Act or the rules and regulations thereunder. To the extent the exclusive federal forum provision for causes of action arising under the Securities Act restricts the courts in which claims arising under the Securities Act may be brought, there is uncertainty as to whether a court would enforce such a provision. Shareholders cannot waive compliance with the federal securities laws and the rules and regulations thereunder.</w:t>
      </w:r>
    </w:p>
    <w:p>
      <w:pPr>
        <w:spacing w:after="0" w:line="140"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The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40" w:lineRule="exact"/>
        <w:rPr>
          <w:sz w:val="20"/>
          <w:szCs w:val="20"/>
          <w:color w:val="auto"/>
        </w:rPr>
      </w:pPr>
    </w:p>
    <w:p>
      <w:pPr>
        <w:jc w:val="both"/>
        <w:ind w:left="40" w:right="1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21" w:lineRule="exact"/>
        <w:rPr>
          <w:sz w:val="20"/>
          <w:szCs w:val="20"/>
          <w:color w:val="auto"/>
        </w:rPr>
      </w:pPr>
    </w:p>
    <w:p>
      <w:pPr>
        <w:ind w:left="40" w:right="219"/>
        <w:spacing w:after="0" w:line="295" w:lineRule="auto"/>
        <w:rPr>
          <w:sz w:val="20"/>
          <w:szCs w:val="20"/>
          <w:color w:val="auto"/>
        </w:rPr>
      </w:pPr>
      <w:r>
        <w:rPr>
          <w:rFonts w:ascii="Times New Roman" w:cs="Times New Roman" w:eastAsia="Times New Roman" w:hAnsi="Times New Roman"/>
          <w:sz w:val="17"/>
          <w:szCs w:val="17"/>
          <w:color w:val="auto"/>
        </w:rPr>
        <w:t>Sales of a substantial number of shares of common stock could occur at any time. These sales, or the perception in the market that the holders of a large number of shares intend to sell shares, could reduce the market price of our common stock.</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are party to certain agreements that provide registration rights to the counterparties.</w:t>
      </w:r>
    </w:p>
    <w:p>
      <w:pPr>
        <w:spacing w:after="0" w:line="196" w:lineRule="exact"/>
        <w:rPr>
          <w:sz w:val="20"/>
          <w:szCs w:val="20"/>
          <w:color w:val="auto"/>
        </w:rPr>
      </w:pPr>
    </w:p>
    <w:p>
      <w:pPr>
        <w:ind w:left="40" w:right="399"/>
        <w:spacing w:after="0" w:line="269" w:lineRule="auto"/>
        <w:rPr>
          <w:sz w:val="20"/>
          <w:szCs w:val="20"/>
          <w:color w:val="auto"/>
        </w:rPr>
      </w:pPr>
      <w:r>
        <w:rPr>
          <w:rFonts w:ascii="Times New Roman" w:cs="Times New Roman" w:eastAsia="Times New Roman" w:hAnsi="Times New Roman"/>
          <w:sz w:val="17"/>
          <w:szCs w:val="17"/>
          <w:color w:val="auto"/>
        </w:rPr>
        <w:t>As restrictions on resale end, including lock-up restrictions applicable to approximately 46,761,682 shares of our common stock that end between March 27, 2026 and October 28, 2026 depending on the trading price of our common stock, and the registration statement is available for use, the market price of our common stock could decline if the holders of currently restricted shares sell them or are perceived by the market as intending to sell them.</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319"/>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1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7"/>
          <w:szCs w:val="17"/>
          <w:color w:val="auto"/>
        </w:rPr>
        <w:t>As an “emerging growth company,” we may take advantage of certain exemptions from various reporting requirements that are applicable to other public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40" w:lineRule="exact"/>
        <w:rPr>
          <w:sz w:val="20"/>
          <w:szCs w:val="20"/>
          <w:color w:val="auto"/>
        </w:rPr>
      </w:pPr>
    </w:p>
    <w:p>
      <w:pPr>
        <w:ind w:left="40" w:right="239"/>
        <w:spacing w:after="0" w:line="275"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4"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Cybersecurity Risk Management and Compliance</w:t>
      </w:r>
    </w:p>
    <w:p>
      <w:pPr>
        <w:spacing w:after="0" w:line="224" w:lineRule="exact"/>
        <w:rPr>
          <w:sz w:val="20"/>
          <w:szCs w:val="20"/>
          <w:color w:val="auto"/>
        </w:rPr>
      </w:pPr>
    </w:p>
    <w:p>
      <w:pPr>
        <w:jc w:val="both"/>
        <w:ind w:left="40" w:right="299" w:firstLine="627"/>
        <w:spacing w:after="0" w:line="275" w:lineRule="auto"/>
        <w:rPr>
          <w:sz w:val="20"/>
          <w:szCs w:val="20"/>
          <w:color w:val="auto"/>
        </w:rPr>
      </w:pPr>
      <w:r>
        <w:rPr>
          <w:rFonts w:ascii="Times New Roman" w:cs="Times New Roman" w:eastAsia="Times New Roman" w:hAnsi="Times New Roman"/>
          <w:sz w:val="17"/>
          <w:szCs w:val="17"/>
          <w:color w:val="auto"/>
        </w:rPr>
        <w:t>We have established comprehensive frameworks and processes to manage material risks from cybersecurity threats, including the identification, assessment, and mitigation of existing cybersecurity risks, as well as continuous monitoring for emerging risks that could impact our operations.</w:t>
      </w:r>
    </w:p>
    <w:p>
      <w:pPr>
        <w:spacing w:after="0" w:line="163" w:lineRule="exact"/>
        <w:rPr>
          <w:sz w:val="20"/>
          <w:szCs w:val="20"/>
          <w:color w:val="auto"/>
        </w:rPr>
      </w:pPr>
    </w:p>
    <w:p>
      <w:pPr>
        <w:ind w:left="40" w:right="119" w:firstLine="627"/>
        <w:spacing w:after="0" w:line="269" w:lineRule="auto"/>
        <w:rPr>
          <w:sz w:val="20"/>
          <w:szCs w:val="20"/>
          <w:color w:val="auto"/>
        </w:rPr>
      </w:pPr>
      <w:r>
        <w:rPr>
          <w:rFonts w:ascii="Times New Roman" w:cs="Times New Roman" w:eastAsia="Times New Roman" w:hAnsi="Times New Roman"/>
          <w:sz w:val="17"/>
          <w:szCs w:val="17"/>
          <w:color w:val="auto"/>
        </w:rPr>
        <w:t>Our approach is aligned with industry-leading frameworks such as the National Institute of Standards and Technology (“NIST”) Cybersecurity Framework and is intended to guide our cybersecurity practices. However, this alignment does not imply that we meet any specific standards, specifications, or regulatory requirements, rather, we use NIST as a foundational guide for our initiative plan.</w:t>
      </w:r>
    </w:p>
    <w:p>
      <w:pPr>
        <w:spacing w:after="0" w:line="168" w:lineRule="exact"/>
        <w:rPr>
          <w:sz w:val="20"/>
          <w:szCs w:val="20"/>
          <w:color w:val="auto"/>
        </w:rPr>
      </w:pPr>
    </w:p>
    <w:p>
      <w:pPr>
        <w:ind w:left="40" w:right="79" w:firstLine="627"/>
        <w:spacing w:after="0" w:line="262" w:lineRule="auto"/>
        <w:rPr>
          <w:sz w:val="20"/>
          <w:szCs w:val="20"/>
          <w:color w:val="auto"/>
        </w:rPr>
      </w:pPr>
      <w:r>
        <w:rPr>
          <w:rFonts w:ascii="Times New Roman" w:cs="Times New Roman" w:eastAsia="Times New Roman" w:hAnsi="Times New Roman"/>
          <w:sz w:val="17"/>
          <w:szCs w:val="17"/>
          <w:color w:val="auto"/>
        </w:rPr>
        <w:t>Our cybersecurity and physical security controls are implemented through a robust set of policies and procedures designed for the planning, execution, management, assessment, innovation, and continuous improvement of security measures. This includes a multi-layered network security architecture, regular security assessments, and penetration testing to proactively identify and address vulnerabilities. We have implemented critical security technologies, such as firewalls, Intrusion Detection and Prevention Systems (“IDPS”), and Endpoint Detection and Response (“EDR”) solutions. Additionally, we conduct periodic vulnerability assessments and simulated cyberattack exercises to identify, mitigate, and remediate weaknesses within our IT infrastructure.</w:t>
      </w:r>
    </w:p>
    <w:p>
      <w:pPr>
        <w:spacing w:after="0" w:line="177" w:lineRule="exact"/>
        <w:rPr>
          <w:sz w:val="20"/>
          <w:szCs w:val="20"/>
          <w:color w:val="auto"/>
        </w:rPr>
      </w:pPr>
    </w:p>
    <w:p>
      <w:pPr>
        <w:ind w:left="40" w:right="119" w:firstLine="627"/>
        <w:spacing w:after="0" w:line="267" w:lineRule="auto"/>
        <w:rPr>
          <w:sz w:val="20"/>
          <w:szCs w:val="20"/>
          <w:color w:val="auto"/>
        </w:rPr>
      </w:pPr>
      <w:r>
        <w:rPr>
          <w:rFonts w:ascii="Times New Roman" w:cs="Times New Roman" w:eastAsia="Times New Roman" w:hAnsi="Times New Roman"/>
          <w:sz w:val="17"/>
          <w:szCs w:val="17"/>
          <w:color w:val="auto"/>
        </w:rPr>
        <w:t>Our technology environment includes enterprise business systems and specialized analytical and technical software environments used for engineering and design activities. To safeguard these systems, we utilize security measures such as role-based access controls, multi-factor authentication for privileged accounts, encryption of sensitive data in transit and at rest, secure configuration standards, endpoint detection and response tools, and periodic cybersecurity awareness training for employees.</w:t>
      </w:r>
    </w:p>
    <w:p>
      <w:pPr>
        <w:spacing w:after="0" w:line="383" w:lineRule="exact"/>
        <w:rPr>
          <w:sz w:val="20"/>
          <w:szCs w:val="20"/>
          <w:color w:val="auto"/>
        </w:rPr>
      </w:pPr>
    </w:p>
    <w:p>
      <w:pPr>
        <w:ind w:left="40" w:right="119" w:firstLine="627"/>
        <w:spacing w:after="0" w:line="275" w:lineRule="auto"/>
        <w:rPr>
          <w:sz w:val="20"/>
          <w:szCs w:val="20"/>
          <w:color w:val="auto"/>
        </w:rPr>
      </w:pPr>
      <w:r>
        <w:rPr>
          <w:rFonts w:ascii="Times New Roman" w:cs="Times New Roman" w:eastAsia="Times New Roman" w:hAnsi="Times New Roman"/>
          <w:sz w:val="17"/>
          <w:szCs w:val="17"/>
          <w:color w:val="auto"/>
        </w:rPr>
        <w:t>We also maintain processes designed to identify and manage cybersecurity risks associated with third-party service providers that may have access to our systems or data, including security due diligence for critical vendors and contractual data protection and breach notification requirements where appropriate.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Governance and Oversight</w:t>
      </w:r>
    </w:p>
    <w:p>
      <w:pPr>
        <w:spacing w:after="0" w:line="224" w:lineRule="exact"/>
        <w:rPr>
          <w:sz w:val="20"/>
          <w:szCs w:val="20"/>
          <w:color w:val="auto"/>
        </w:rPr>
      </w:pPr>
    </w:p>
    <w:p>
      <w:pPr>
        <w:ind w:left="40" w:right="139" w:firstLine="627"/>
        <w:spacing w:after="0" w:line="261" w:lineRule="auto"/>
        <w:rPr>
          <w:sz w:val="20"/>
          <w:szCs w:val="20"/>
          <w:color w:val="auto"/>
        </w:rPr>
      </w:pPr>
      <w:r>
        <w:rPr>
          <w:rFonts w:ascii="Times New Roman" w:cs="Times New Roman" w:eastAsia="Times New Roman" w:hAnsi="Times New Roman"/>
          <w:sz w:val="17"/>
          <w:szCs w:val="17"/>
          <w:color w:val="auto"/>
        </w:rPr>
        <w:t>Oversight of enterprise risk, including cybersecurity risk, is the responsibility of the Company’s Chief Executive Officer (“CEO”), Chief Technology Officer (“CTO”), Chief Operating Officer (“COO”), and Chief Financial Officer (“CFO”). These executives oversee the Company’s cybersecurity priorities and risk management activities, including policies, procedures, and monitoring processes designed to safeguard the Company’s information assets and technology systems. Delegated members of this leadership team are responsible for cybersecurity risk monitoring, threat detection, and incident reporting to the Audit Committee of the Company’s Board of Directors, as well as reviews and evaluates the processes utilized by management to identify and assess the material internal and external risks that may affect our business. The Audit Committee receives updates regarding cybersecurity risks and incidents, as appropriate, as part of its oversight of enterprise risk management.</w:t>
      </w:r>
    </w:p>
    <w:p>
      <w:pPr>
        <w:spacing w:after="0" w:line="388" w:lineRule="exact"/>
        <w:rPr>
          <w:sz w:val="20"/>
          <w:szCs w:val="20"/>
          <w:color w:val="auto"/>
        </w:rPr>
      </w:pPr>
    </w:p>
    <w:p>
      <w:pPr>
        <w:jc w:val="both"/>
        <w:ind w:left="40" w:right="139" w:firstLine="627"/>
        <w:spacing w:after="0" w:line="275" w:lineRule="auto"/>
        <w:rPr>
          <w:sz w:val="20"/>
          <w:szCs w:val="20"/>
          <w:color w:val="auto"/>
        </w:rPr>
      </w:pPr>
      <w:r>
        <w:rPr>
          <w:rFonts w:ascii="Times New Roman" w:cs="Times New Roman" w:eastAsia="Times New Roman" w:hAnsi="Times New Roman"/>
          <w:sz w:val="17"/>
          <w:szCs w:val="17"/>
          <w:color w:val="auto"/>
        </w:rPr>
        <w:t>The Chief Operating Officer is responsible for cybersecurity strategy and implementation, including risk assessment, mitigation, and incident response, while the Chief Financial Officer is responsible for coordinating regulatory reporting related to cybersecurity matters.</w:t>
      </w:r>
    </w:p>
    <w:p>
      <w:pPr>
        <w:spacing w:after="0" w:line="1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Key individuals involved in overseeing and executing our cybersecurity strategy include:</w:t>
      </w:r>
    </w:p>
    <w:p>
      <w:pPr>
        <w:spacing w:after="0" w:line="222" w:lineRule="exact"/>
        <w:rPr>
          <w:sz w:val="20"/>
          <w:szCs w:val="20"/>
          <w:color w:val="auto"/>
        </w:rPr>
      </w:pPr>
    </w:p>
    <w:p>
      <w:pPr>
        <w:ind w:left="40" w:right="79" w:firstLine="634"/>
        <w:spacing w:after="0" w:line="269" w:lineRule="auto"/>
        <w:tabs>
          <w:tab w:leader="none" w:pos="7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Executive Officer - more than 20 years of finance and investment management experience across a broad range of industries and markets. Prior to joining the Company, he held senior leadership roles at Man Global Strategies, the strategic investment division of Man Group Plc, where he led strategic investments in North America and served on the firm’s Investment Committee. He began his career as a derivatives structurer and trader at Credit Suisse Financial Products.</w:t>
      </w:r>
    </w:p>
    <w:p>
      <w:pPr>
        <w:spacing w:after="0" w:line="167" w:lineRule="exact"/>
        <w:rPr>
          <w:rFonts w:ascii="Times New Roman" w:cs="Times New Roman" w:eastAsia="Times New Roman" w:hAnsi="Times New Roman"/>
          <w:sz w:val="17"/>
          <w:szCs w:val="17"/>
          <w:color w:val="auto"/>
        </w:rPr>
      </w:pPr>
    </w:p>
    <w:p>
      <w:pPr>
        <w:ind w:left="40" w:right="159" w:firstLine="634"/>
        <w:spacing w:after="0" w:line="269" w:lineRule="auto"/>
        <w:tabs>
          <w:tab w:leader="none" w:pos="7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Technology Officer - globally recognized expert in molten salt reactor (“MSR”) technologies with extensive experience in the development of advanced nuclear power systems. He founded Ottawa Valley Research Associates Ltd. to advance MSR technologies and has contributed to numerous patents, academic publications, and international industry forums focused on advanced reactor development.</w:t>
      </w:r>
    </w:p>
    <w:p>
      <w:pPr>
        <w:spacing w:after="0" w:line="167" w:lineRule="exact"/>
        <w:rPr>
          <w:rFonts w:ascii="Times New Roman" w:cs="Times New Roman" w:eastAsia="Times New Roman" w:hAnsi="Times New Roman"/>
          <w:sz w:val="17"/>
          <w:szCs w:val="17"/>
          <w:color w:val="auto"/>
        </w:rPr>
      </w:pPr>
    </w:p>
    <w:p>
      <w:pPr>
        <w:ind w:left="40" w:right="139" w:firstLine="634"/>
        <w:spacing w:after="0" w:line="269" w:lineRule="auto"/>
        <w:tabs>
          <w:tab w:leader="none" w:pos="7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Financial Officer - over 25 years of financial leadership experience serving as an executive and officer at large public and private companies. He has extensive experience in financial planning, public company reporting and financing, budgeting and forecasting, systems implementation, mergers and acquisitions, and regulatory compliance. Mr. Thrasher is a Certified Public Accountant and began his career in public accounting at Ernst &amp; Young.</w:t>
      </w:r>
    </w:p>
    <w:p>
      <w:pPr>
        <w:spacing w:after="0" w:line="167" w:lineRule="exact"/>
        <w:rPr>
          <w:rFonts w:ascii="Times New Roman" w:cs="Times New Roman" w:eastAsia="Times New Roman" w:hAnsi="Times New Roman"/>
          <w:sz w:val="17"/>
          <w:szCs w:val="17"/>
          <w:color w:val="auto"/>
        </w:rPr>
      </w:pPr>
    </w:p>
    <w:p>
      <w:pPr>
        <w:ind w:left="40" w:right="79" w:firstLine="634"/>
        <w:spacing w:after="0" w:line="269" w:lineRule="auto"/>
        <w:tabs>
          <w:tab w:leader="none" w:pos="7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Operating Officer - over 44 years of experience in the energy sector, including more than 20 years in the nuclear industry. He has extensive experience in major project execution, operational leadership, supply chain management, and engagement with clients, suppliers, and regulators. Prior to joining the Company, he held senior leadership roles at Siemens Canada and Ontario Hydro / Ontario Power Generation.</w:t>
      </w:r>
    </w:p>
    <w:p>
      <w:pPr>
        <w:spacing w:after="0" w:line="167" w:lineRule="exact"/>
        <w:rPr>
          <w:rFonts w:ascii="Times New Roman" w:cs="Times New Roman" w:eastAsia="Times New Roman" w:hAnsi="Times New Roman"/>
          <w:sz w:val="17"/>
          <w:szCs w:val="17"/>
          <w:color w:val="auto"/>
        </w:rPr>
      </w:pPr>
    </w:p>
    <w:p>
      <w:pPr>
        <w:ind w:left="40" w:right="419" w:firstLine="634"/>
        <w:spacing w:after="0" w:line="275" w:lineRule="auto"/>
        <w:tabs>
          <w:tab w:leader="none" w:pos="75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Director – over 20 years of IT leadership and management experience in various facets of the IT environment including risk and change and cybersecurity. He has overseen system implementations, IT infrastructure and network management, and related risk and change process improvements.</w:t>
      </w:r>
    </w:p>
    <w:p>
      <w:pPr>
        <w:spacing w:after="0" w:line="163" w:lineRule="exact"/>
        <w:rPr>
          <w:sz w:val="20"/>
          <w:szCs w:val="20"/>
          <w:color w:val="auto"/>
        </w:rPr>
      </w:pPr>
    </w:p>
    <w:p>
      <w:pPr>
        <w:ind w:left="40" w:right="119" w:firstLine="627"/>
        <w:spacing w:after="0" w:line="266" w:lineRule="auto"/>
        <w:rPr>
          <w:sz w:val="20"/>
          <w:szCs w:val="20"/>
          <w:color w:val="auto"/>
        </w:rPr>
      </w:pPr>
      <w:r>
        <w:rPr>
          <w:rFonts w:ascii="Times New Roman" w:cs="Times New Roman" w:eastAsia="Times New Roman" w:hAnsi="Times New Roman"/>
          <w:sz w:val="17"/>
          <w:szCs w:val="17"/>
          <w:color w:val="auto"/>
        </w:rPr>
        <w:t>These individuals have played a central role in ensuring our transition to public company status, collaborating with both internal and external IT specialists to meet strictest compliance standards in alignment with applicable regulatory frameworks, including NIST, the Canadian Nuclear Safety Commission (“CNSC”), the U.S. Nuclear Regulatory Commission (“NRC”), the Department of Energy (“DOE”), the Federal Bureau of Investigation (“FBI”), and the Canadian Centre for Cyber Security (“CCCS”).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Cyber Risk Management Strategy and Execution</w:t>
      </w:r>
    </w:p>
    <w:p>
      <w:pPr>
        <w:spacing w:after="0" w:line="224" w:lineRule="exact"/>
        <w:rPr>
          <w:sz w:val="20"/>
          <w:szCs w:val="20"/>
          <w:color w:val="auto"/>
        </w:rPr>
      </w:pPr>
    </w:p>
    <w:p>
      <w:pPr>
        <w:ind w:left="40" w:right="99" w:firstLine="627"/>
        <w:spacing w:after="0" w:line="269" w:lineRule="auto"/>
        <w:rPr>
          <w:sz w:val="20"/>
          <w:szCs w:val="20"/>
          <w:color w:val="auto"/>
        </w:rPr>
      </w:pPr>
      <w:r>
        <w:rPr>
          <w:rFonts w:ascii="Times New Roman" w:cs="Times New Roman" w:eastAsia="Times New Roman" w:hAnsi="Times New Roman"/>
          <w:sz w:val="17"/>
          <w:szCs w:val="17"/>
          <w:color w:val="auto"/>
        </w:rPr>
        <w:t>The executive management team is directly responsible for the execution of our cyber risk management strategy and the implementation of the controls designed to protect the Company's operational infrastructure. This includes both ongoing oversight of security initiatives and the application of continuous improvement measures to ensure the integrity, confidentiality, and availability of our systems.</w:t>
      </w:r>
    </w:p>
    <w:p>
      <w:pPr>
        <w:spacing w:after="0" w:line="168" w:lineRule="exact"/>
        <w:rPr>
          <w:sz w:val="20"/>
          <w:szCs w:val="20"/>
          <w:color w:val="auto"/>
        </w:rPr>
      </w:pPr>
    </w:p>
    <w:p>
      <w:pPr>
        <w:ind w:left="40" w:right="119" w:firstLine="627"/>
        <w:spacing w:after="0" w:line="275" w:lineRule="auto"/>
        <w:rPr>
          <w:sz w:val="20"/>
          <w:szCs w:val="20"/>
          <w:color w:val="auto"/>
        </w:rPr>
      </w:pPr>
      <w:r>
        <w:rPr>
          <w:rFonts w:ascii="Times New Roman" w:cs="Times New Roman" w:eastAsia="Times New Roman" w:hAnsi="Times New Roman"/>
          <w:sz w:val="17"/>
          <w:szCs w:val="17"/>
          <w:color w:val="auto"/>
        </w:rPr>
        <w:t>Potential cybersecurity threats are identified and analyzed through the Company’s ongoing monitoring of its technology environment, including security monitoring activities, centralized logging, and threat detection processes supported by internal personnel and external cybersecurity service providers.</w:t>
      </w:r>
    </w:p>
    <w:p>
      <w:pPr>
        <w:spacing w:after="0" w:line="163" w:lineRule="exact"/>
        <w:rPr>
          <w:sz w:val="20"/>
          <w:szCs w:val="20"/>
          <w:color w:val="auto"/>
        </w:rPr>
      </w:pPr>
    </w:p>
    <w:p>
      <w:pPr>
        <w:ind w:left="40" w:right="159" w:firstLine="627"/>
        <w:spacing w:after="0" w:line="295" w:lineRule="auto"/>
        <w:rPr>
          <w:sz w:val="20"/>
          <w:szCs w:val="20"/>
          <w:color w:val="auto"/>
        </w:rPr>
      </w:pPr>
      <w:r>
        <w:rPr>
          <w:rFonts w:ascii="Times New Roman" w:cs="Times New Roman" w:eastAsia="Times New Roman" w:hAnsi="Times New Roman"/>
          <w:sz w:val="17"/>
          <w:szCs w:val="17"/>
          <w:color w:val="auto"/>
        </w:rPr>
        <w:t>The COO and CFO, in consultation with the Company’s General Counsel where appropriate, assess the materiality of cybersecurity incidents and determine any required public disclosure in accordance with applicable securities laws.</w:t>
      </w:r>
    </w:p>
    <w:p>
      <w:pPr>
        <w:spacing w:after="0" w:line="146" w:lineRule="exact"/>
        <w:rPr>
          <w:sz w:val="20"/>
          <w:szCs w:val="20"/>
          <w:color w:val="auto"/>
        </w:rPr>
      </w:pPr>
    </w:p>
    <w:p>
      <w:pPr>
        <w:ind w:left="40" w:right="419" w:firstLine="627"/>
        <w:spacing w:after="0" w:line="295" w:lineRule="auto"/>
        <w:rPr>
          <w:sz w:val="20"/>
          <w:szCs w:val="20"/>
          <w:color w:val="auto"/>
        </w:rPr>
      </w:pPr>
      <w:r>
        <w:rPr>
          <w:rFonts w:ascii="Times New Roman" w:cs="Times New Roman" w:eastAsia="Times New Roman" w:hAnsi="Times New Roman"/>
          <w:sz w:val="17"/>
          <w:szCs w:val="17"/>
          <w:color w:val="auto"/>
        </w:rPr>
        <w:t>Currently, we are not aware of any risks from cybersecurity threats or cybersecurity incidents that have materially affected or are reasonably likely to materially affect the Company.</w:t>
      </w:r>
    </w:p>
    <w:p>
      <w:pPr>
        <w:spacing w:after="0" w:line="144"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224" w:lineRule="exact"/>
        <w:rPr>
          <w:sz w:val="20"/>
          <w:szCs w:val="20"/>
          <w:color w:val="auto"/>
        </w:rPr>
      </w:pPr>
    </w:p>
    <w:p>
      <w:pPr>
        <w:ind w:left="40" w:right="79" w:firstLine="627"/>
        <w:spacing w:after="0" w:line="275" w:lineRule="auto"/>
        <w:rPr>
          <w:sz w:val="20"/>
          <w:szCs w:val="20"/>
          <w:color w:val="auto"/>
        </w:rPr>
      </w:pPr>
      <w:r>
        <w:rPr>
          <w:rFonts w:ascii="Times New Roman" w:cs="Times New Roman" w:eastAsia="Times New Roman" w:hAnsi="Times New Roman"/>
          <w:sz w:val="17"/>
          <w:szCs w:val="17"/>
          <w:color w:val="auto"/>
        </w:rPr>
        <w:t>Our headquarters is located in Charlotte, North Carolina, where we have leased approximately 7,355 square feet of commercial office space, expiring in July 2030. Additionally, we have leased approximately 9,822 square feet of office space in Oakville, Canada, for engineering and R&amp;D support, expiring in January 2030.</w:t>
      </w:r>
    </w:p>
    <w:p>
      <w:pPr>
        <w:spacing w:after="0" w:line="161"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224" w:lineRule="exact"/>
        <w:rPr>
          <w:sz w:val="20"/>
          <w:szCs w:val="20"/>
          <w:color w:val="auto"/>
        </w:rPr>
      </w:pPr>
    </w:p>
    <w:p>
      <w:pPr>
        <w:ind w:left="40" w:right="159" w:firstLine="627"/>
        <w:spacing w:after="0" w:line="264" w:lineRule="auto"/>
        <w:rPr>
          <w:sz w:val="20"/>
          <w:szCs w:val="20"/>
          <w:color w:val="auto"/>
        </w:rPr>
      </w:pPr>
      <w:r>
        <w:rPr>
          <w:rFonts w:ascii="Times New Roman" w:cs="Times New Roman" w:eastAsia="Times New Roman" w:hAnsi="Times New Roman"/>
          <w:sz w:val="17"/>
          <w:szCs w:val="17"/>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w:t>
      </w:r>
    </w:p>
    <w:p>
      <w:pPr>
        <w:spacing w:after="0" w:line="170"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9" w:lineRule="exact"/>
        <w:rPr>
          <w:sz w:val="20"/>
          <w:szCs w:val="20"/>
          <w:color w:val="auto"/>
        </w:rPr>
      </w:pPr>
    </w:p>
    <w:p>
      <w:pPr>
        <w:ind w:left="40" w:right="339"/>
        <w:spacing w:after="0" w:line="29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98" w:lineRule="exact"/>
        <w:rPr>
          <w:sz w:val="20"/>
          <w:szCs w:val="20"/>
          <w:color w:val="auto"/>
        </w:rPr>
      </w:pPr>
    </w:p>
    <w:p>
      <w:pPr>
        <w:ind w:left="40" w:right="259" w:firstLine="627"/>
        <w:spacing w:after="0" w:line="295" w:lineRule="auto"/>
        <w:rPr>
          <w:sz w:val="20"/>
          <w:szCs w:val="20"/>
          <w:color w:val="auto"/>
        </w:rPr>
      </w:pPr>
      <w:r>
        <w:rPr>
          <w:rFonts w:ascii="Times New Roman" w:cs="Times New Roman" w:eastAsia="Times New Roman" w:hAnsi="Times New Roman"/>
          <w:sz w:val="17"/>
          <w:szCs w:val="17"/>
          <w:color w:val="auto"/>
        </w:rPr>
        <w:t>Our common stock is listed on the Nasdaq Capital Market (trading symbol: IMSR). As of December 31, 2025, there were 169 record holders of common stock.</w:t>
      </w:r>
    </w:p>
    <w:p>
      <w:pPr>
        <w:spacing w:after="0" w:line="1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1" w:lineRule="exact"/>
        <w:rPr>
          <w:sz w:val="20"/>
          <w:szCs w:val="20"/>
          <w:color w:val="auto"/>
        </w:rPr>
      </w:pPr>
    </w:p>
    <w:p>
      <w:pPr>
        <w:jc w:val="both"/>
        <w:ind w:left="40" w:right="479" w:firstLine="627"/>
        <w:spacing w:after="0" w:line="275" w:lineRule="auto"/>
        <w:rPr>
          <w:sz w:val="20"/>
          <w:szCs w:val="20"/>
          <w:color w:val="auto"/>
        </w:rPr>
      </w:pPr>
      <w:r>
        <w:rPr>
          <w:rFonts w:ascii="Times New Roman" w:cs="Times New Roman" w:eastAsia="Times New Roman" w:hAnsi="Times New Roman"/>
          <w:sz w:val="17"/>
          <w:szCs w:val="17"/>
          <w:color w:val="auto"/>
        </w:rPr>
        <w:t>No cash dividends were paid in 2025 or 2024 on our common stock, and our current policy is to retain any future earnings to support our operations and finance the growth and development of our business. We do not intend to pay cash dividends on our common stock for the foreseeable future.</w:t>
      </w:r>
    </w:p>
    <w:p>
      <w:pPr>
        <w:spacing w:after="0" w:line="1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Purchase of Equity Securities by the Issuer and Affiliated Purchasers</w:t>
      </w:r>
    </w:p>
    <w:p>
      <w:pPr>
        <w:spacing w:after="0" w:line="2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98" w:lineRule="exact"/>
        <w:rPr>
          <w:sz w:val="20"/>
          <w:szCs w:val="20"/>
          <w:color w:val="auto"/>
        </w:rPr>
      </w:pPr>
    </w:p>
    <w:p>
      <w:pPr>
        <w:ind w:left="40" w:right="139" w:firstLine="627"/>
        <w:spacing w:after="0" w:line="275" w:lineRule="auto"/>
        <w:rPr>
          <w:sz w:val="20"/>
          <w:szCs w:val="20"/>
          <w:color w:val="auto"/>
        </w:rPr>
      </w:pPr>
      <w:r>
        <w:rPr>
          <w:rFonts w:ascii="Times New Roman" w:cs="Times New Roman" w:eastAsia="Times New Roman" w:hAnsi="Times New Roman"/>
          <w:sz w:val="17"/>
          <w:szCs w:val="17"/>
          <w:color w:val="auto"/>
        </w:rPr>
        <w:t>On October 28, 2025, the Company issued 166,298 restricted stock units (“RSUs”) to Simon Irish, the Company’s Chief Executive Officer, as an initial equity grant pursuant to Mr. Irish’s employment agreement with the Company. Mr. Irish’s RSUs vest pro rata over a three year period following the grant date.</w:t>
      </w:r>
    </w:p>
    <w:p>
      <w:pPr>
        <w:spacing w:after="0" w:line="150" w:lineRule="exact"/>
        <w:rPr>
          <w:sz w:val="20"/>
          <w:szCs w:val="20"/>
          <w:color w:val="auto"/>
        </w:rPr>
      </w:pPr>
    </w:p>
    <w:p>
      <w:pPr>
        <w:ind w:left="40" w:right="279" w:firstLine="627"/>
        <w:spacing w:after="0" w:line="275" w:lineRule="auto"/>
        <w:rPr>
          <w:sz w:val="20"/>
          <w:szCs w:val="20"/>
          <w:color w:val="auto"/>
        </w:rPr>
      </w:pPr>
      <w:r>
        <w:rPr>
          <w:rFonts w:ascii="Times New Roman" w:cs="Times New Roman" w:eastAsia="Times New Roman" w:hAnsi="Times New Roman"/>
          <w:sz w:val="17"/>
          <w:szCs w:val="17"/>
          <w:color w:val="auto"/>
        </w:rPr>
        <w:t>On December 18, 2025, the Company issued 43,335 RSUs to its directors pursuant to the Company’s director compensation policy for their service as directors. All such RSUs vest in full on December 31, 2026, subject to the director’s continued service to the Company through such date.</w:t>
      </w:r>
    </w:p>
    <w:p>
      <w:pPr>
        <w:spacing w:after="0" w:line="150" w:lineRule="exact"/>
        <w:rPr>
          <w:sz w:val="20"/>
          <w:szCs w:val="20"/>
          <w:color w:val="auto"/>
        </w:rPr>
      </w:pPr>
    </w:p>
    <w:p>
      <w:pPr>
        <w:ind w:left="40" w:right="139" w:firstLine="627"/>
        <w:spacing w:after="0" w:line="295" w:lineRule="auto"/>
        <w:rPr>
          <w:sz w:val="20"/>
          <w:szCs w:val="20"/>
          <w:color w:val="auto"/>
        </w:rPr>
      </w:pPr>
      <w:r>
        <w:rPr>
          <w:rFonts w:ascii="Times New Roman" w:cs="Times New Roman" w:eastAsia="Times New Roman" w:hAnsi="Times New Roman"/>
          <w:sz w:val="17"/>
          <w:szCs w:val="17"/>
          <w:color w:val="auto"/>
        </w:rPr>
        <w:t>The issuance of these RSUs was exempt from registration in reliance on Section 4(a)(2) of the Securities Act of 1933, as amended, as a transaction by an issuer not involving a public offering.</w:t>
      </w:r>
    </w:p>
    <w:p>
      <w:pPr>
        <w:spacing w:after="0" w:line="118"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299"/>
        <w:spacing w:after="0" w:line="297" w:lineRule="auto"/>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30" w:lineRule="exact"/>
        <w:rPr>
          <w:sz w:val="20"/>
          <w:szCs w:val="20"/>
          <w:color w:val="auto"/>
        </w:rPr>
      </w:pPr>
    </w:p>
    <w:p>
      <w:pPr>
        <w:ind w:left="40" w:right="1159"/>
        <w:spacing w:after="0" w:line="297" w:lineRule="auto"/>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TERRESTRIAL ENERGY</w:t>
      </w:r>
    </w:p>
    <w:p>
      <w:pPr>
        <w:spacing w:after="0" w:line="130" w:lineRule="exact"/>
        <w:rPr>
          <w:sz w:val="20"/>
          <w:szCs w:val="20"/>
          <w:color w:val="auto"/>
        </w:rPr>
      </w:pPr>
    </w:p>
    <w:p>
      <w:pPr>
        <w:ind w:left="40" w:right="259"/>
        <w:spacing w:after="0" w:line="297" w:lineRule="auto"/>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“we”, “us”, “our”, “its”, “Terrestrial Energy”, or the “Company” refer to Terrestrial Energy Inc. and its subsidiaries.</w:t>
      </w:r>
    </w:p>
    <w:p>
      <w:pPr>
        <w:spacing w:after="0" w:line="117"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Terrestrial Energy includes information that Terrestrial Energy’s management believes is relevant to an assessment and understanding of Terrestrial Energy’s consolidated results of operations and financial condition. You should read the following discussion and analysis of our financial condition and results of operations together with our audited consolidated financial statements for the years ended December 31, 2025 and 2024, together with the respective notes thereto.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1" w:lineRule="exact"/>
        <w:rPr>
          <w:sz w:val="20"/>
          <w:szCs w:val="20"/>
          <w:color w:val="auto"/>
        </w:rPr>
      </w:pPr>
    </w:p>
    <w:p>
      <w:pPr>
        <w:ind w:left="40" w:right="99"/>
        <w:spacing w:after="0" w:line="295" w:lineRule="auto"/>
        <w:rPr>
          <w:sz w:val="20"/>
          <w:szCs w:val="20"/>
          <w:color w:val="auto"/>
        </w:rPr>
      </w:pPr>
      <w:r>
        <w:rPr>
          <w:rFonts w:ascii="Times New Roman" w:cs="Times New Roman" w:eastAsia="Times New Roman" w:hAnsi="Times New Roman"/>
          <w:sz w:val="17"/>
          <w:szCs w:val="17"/>
          <w:color w:val="auto"/>
        </w:rPr>
        <w:t>For an overview of the Company, see the information above presented under the section labeled “Item 1. Business,” which is in “Part I” of this Annual Report.</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24"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7"/>
          <w:szCs w:val="17"/>
          <w:color w:val="auto"/>
        </w:rPr>
        <w:t>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 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Department of Energy (“DOE”) Advanced Nuclear Reactor Pilot Program</w:t>
      </w:r>
    </w:p>
    <w:p>
      <w:pPr>
        <w:spacing w:after="0" w:line="224"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color w:val="auto"/>
        </w:rPr>
        <w:t>On August 12, 2025, the Company announced that it had been selected for the DOE’s Advanced Reactor Pilot Program, established by the Trump administration’s May 2025 executive order to fast-track commercial licensing activities for small and modular nuclear plants that use advanced reactor technologies, expediting their broad deployment. We believe this represents a significant milestone in Terrestrial Energy’s commercialization pathway, leveraging the program’s fast-track approach to advance the licensing and deployment of the Company’s proprietary IMSR technology.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DOE Advanced Nuclear Fuel Line Pilot Project</w:t>
      </w:r>
    </w:p>
    <w:p>
      <w:pPr>
        <w:spacing w:after="0" w:line="159"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On September 30, 2025, the Company announced that it had been selected for the DOE’s Advanced Nuclear Fuel Line Pilot Project, established by the Trump administration’s May 2025 executive order to fast-track commercial licensing activities for small and modular nuclear plants that use advanced reactor technologies, expediting their broad deployment. The selection of Terrestrial Energy to the Fuel Line Pilot Project will expand access to the advanced fuel required to test our design and accelerate the transition from demonstration to deployment. When combined with our selection to the Advanced Nuclear Reactor Pilot Program, and our use of standard assay low enriched uranium (“SALEU”) fuel, we believe this represents another significant milestone in Terrestrial Energy’s commercialization pathway as we won’t have to rely on scarce fuel in the commercialization of our proprietary IMSR technology.</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DOE Other Transaction Authority (“OTA”) Agreements</w:t>
      </w:r>
    </w:p>
    <w:p>
      <w:pPr>
        <w:spacing w:after="0" w:line="14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In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 the years ended December 31, 2025 and 2024</w:t>
      </w:r>
    </w:p>
    <w:p>
      <w:pPr>
        <w:spacing w:after="0" w:line="148" w:lineRule="exact"/>
        <w:rPr>
          <w:sz w:val="20"/>
          <w:szCs w:val="20"/>
          <w:color w:val="auto"/>
        </w:rPr>
      </w:pPr>
    </w:p>
    <w:p>
      <w:pPr>
        <w:ind w:left="40" w:right="239"/>
        <w:spacing w:after="0" w:line="295" w:lineRule="auto"/>
        <w:rPr>
          <w:sz w:val="20"/>
          <w:szCs w:val="20"/>
          <w:color w:val="auto"/>
        </w:rPr>
      </w:pPr>
      <w:r>
        <w:rPr>
          <w:rFonts w:ascii="Times New Roman" w:cs="Times New Roman" w:eastAsia="Times New Roman" w:hAnsi="Times New Roman"/>
          <w:sz w:val="17"/>
          <w:szCs w:val="17"/>
          <w:color w:val="auto"/>
        </w:rPr>
        <w:t>The following tables set forth our consolidated statement of operations for the years ended December 31, 2025 and 2024, and the dollar and percentage change between the two periods: </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280" w:type="dxa"/>
            <w:vAlign w:val="bottom"/>
            <w:gridSpan w:val="2"/>
          </w:tcPr>
          <w:p>
            <w:pPr>
              <w:jc w:val="right"/>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240" w:type="dxa"/>
            <w:vAlign w:val="bottom"/>
            <w:gridSpan w:val="2"/>
          </w:tcPr>
          <w:p>
            <w:pPr>
              <w:jc w:val="right"/>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4"/>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1100" w:type="dxa"/>
            <w:vAlign w:val="bottom"/>
            <w:gridSpan w:val="2"/>
          </w:tcPr>
          <w:p>
            <w:pPr>
              <w:jc w:val="right"/>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  Change $</w:t>
            </w:r>
          </w:p>
        </w:tc>
        <w:tc>
          <w:tcPr>
            <w:tcW w:w="4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9,767,996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5,176,932</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4,591,064</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14,266,775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4,168,576</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10,098,199</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1,161,704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1,256,391</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(94,687)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25,196,475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10,601,899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14,594,576</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(25,196,475)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(10,353,542)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(14,842,933)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708,004</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(384,508)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(3,900,997)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(1,223,929)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(2,677,068)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 related party</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(438,214)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(88,906)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(349,308)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(1,183,289)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1,183,289</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59,860</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1,210,853</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617,357</w:t>
            </w:r>
          </w:p>
        </w:tc>
        <w:tc>
          <w:tcPr>
            <w:tcW w:w="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(674,571)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(2,802,216)</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(1,110,903)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(1,691,313)</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before income taxes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(27,998,691)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(11,464,445)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(16,534,246)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(20,965)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(28,016,641)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(16,531,231)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3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3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Revenue</w:t>
      </w:r>
    </w:p>
    <w:p>
      <w:pPr>
        <w:spacing w:after="0" w:line="159"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During 2024, the Company provided engineering services to a customer, which was recognized over time as the services were performed. The Company’s contracts with customers are typically to provide a significant service by integrating a complex set of agreed tasks into a single deliverable. Consequently, the entire contract is accounted for as one performance obligation. The Company recognizes revenue from engineering services over time using an input method as performance obligations have no alternative use for the Company and the contracts would require payment to be received for the time and effort spent by the Company on progressing the contracts in the event of the customer cancelling the contract prior to completion for any reason other than the Company’s failure to perform its obligations under the contract. Specifically, labor hours incurred are used to measure progress towards complete satisfaction of the service. This is considered a faithful depiction of the transfer of services as the contracts are initially priced on the basis of anticipated hours to complete the projects and, therefore, also represents the amount to which the Company would be entitled based on its performance to date.</w:t>
      </w:r>
    </w:p>
    <w:p>
      <w:pPr>
        <w:spacing w:after="0" w:line="180" w:lineRule="exact"/>
        <w:rPr>
          <w:sz w:val="20"/>
          <w:szCs w:val="20"/>
          <w:color w:val="auto"/>
        </w:rPr>
      </w:pPr>
    </w:p>
    <w:p>
      <w:pPr>
        <w:ind w:left="40" w:right="239"/>
        <w:spacing w:after="0" w:line="275" w:lineRule="auto"/>
        <w:rPr>
          <w:sz w:val="20"/>
          <w:szCs w:val="20"/>
          <w:color w:val="auto"/>
        </w:rPr>
      </w:pPr>
      <w:r>
        <w:rPr>
          <w:rFonts w:ascii="Times New Roman" w:cs="Times New Roman" w:eastAsia="Times New Roman" w:hAnsi="Times New Roman"/>
          <w:sz w:val="17"/>
          <w:szCs w:val="17"/>
          <w:color w:val="auto"/>
        </w:rPr>
        <w:t>Revenue for the years ended December 31, 2025 and 2024 was $0.0 million and $0.3 million, respectively. The decrease in revenue in 2025 is attributed to the completion of a contract with a customer in the oil and gas sector for pre-construction and use-specific engineering services, which was completed during 2024 and did not provide any revenue in 2025.</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Operating Expenses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185"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color w:val="auto"/>
        </w:rPr>
        <w:t>R&amp;D expenses represent costs incurred to design and engineer the IMSR Plant, including the costs of developing design tools. All research and development costs related to product development are expensed as incurred. R&amp;D expense for the years ended December 31, 2025 and 2024 was $9.8 million and $5.2 million, respectively. The increase in 2025 is attributed to an increase in R&amp;D activities performed by the Company in 2025, compared to 2024, as the Company increased its expenditures in testing activities and expanded headcount.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198" w:lineRule="exact"/>
        <w:rPr>
          <w:sz w:val="20"/>
          <w:szCs w:val="20"/>
          <w:color w:val="auto"/>
        </w:rPr>
      </w:pPr>
    </w:p>
    <w:p>
      <w:pPr>
        <w:ind w:left="40" w:right="119"/>
        <w:spacing w:after="0" w:line="275" w:lineRule="auto"/>
        <w:rPr>
          <w:sz w:val="20"/>
          <w:szCs w:val="20"/>
          <w:color w:val="auto"/>
        </w:rPr>
      </w:pPr>
      <w:r>
        <w:rPr>
          <w:rFonts w:ascii="Times New Roman" w:cs="Times New Roman" w:eastAsia="Times New Roman" w:hAnsi="Times New Roman"/>
          <w:sz w:val="17"/>
          <w:szCs w:val="17"/>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24"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General and administrative expense for the years ended December 31, 2025 and 2024 was $14.3 million and $4.2 million, respectively. The increase in 2025 compared to 2024 is primarily attributable to additional stock-based compensation expense associated with stock options and restricted stock units issued, along with overall operational growth including headcount as part of the business growth strategy.</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98" w:lineRule="exact"/>
        <w:rPr>
          <w:sz w:val="20"/>
          <w:szCs w:val="20"/>
          <w:color w:val="auto"/>
        </w:rPr>
      </w:pPr>
    </w:p>
    <w:p>
      <w:pPr>
        <w:ind w:left="40" w:right="259"/>
        <w:spacing w:after="0" w:line="295" w:lineRule="auto"/>
        <w:rPr>
          <w:sz w:val="20"/>
          <w:szCs w:val="20"/>
          <w:color w:val="auto"/>
        </w:rPr>
      </w:pPr>
      <w:r>
        <w:rPr>
          <w:rFonts w:ascii="Times New Roman" w:cs="Times New Roman" w:eastAsia="Times New Roman" w:hAnsi="Times New Roman"/>
          <w:sz w:val="17"/>
          <w:szCs w:val="17"/>
          <w:color w:val="auto"/>
        </w:rPr>
        <w:t>Depreciation and amortization consist primarily of depreciation of our computer software and equipment and amortization of our patents and trademarks.</w:t>
      </w:r>
    </w:p>
    <w:p>
      <w:pPr>
        <w:spacing w:after="0" w:line="107" w:lineRule="exact"/>
        <w:rPr>
          <w:sz w:val="20"/>
          <w:szCs w:val="20"/>
          <w:color w:val="auto"/>
        </w:rPr>
      </w:pPr>
    </w:p>
    <w:p>
      <w:pPr>
        <w:ind w:left="40" w:right="339"/>
        <w:spacing w:after="0" w:line="295" w:lineRule="auto"/>
        <w:rPr>
          <w:sz w:val="20"/>
          <w:szCs w:val="20"/>
          <w:color w:val="auto"/>
        </w:rPr>
      </w:pPr>
      <w:r>
        <w:rPr>
          <w:rFonts w:ascii="Times New Roman" w:cs="Times New Roman" w:eastAsia="Times New Roman" w:hAnsi="Times New Roman"/>
          <w:sz w:val="17"/>
          <w:szCs w:val="17"/>
          <w:color w:val="auto"/>
        </w:rPr>
        <w:t>Depreciation and amortization expense for the years ended December 31, 2025 and 2024 was $1.2 million and $1.3 million, respectively. The decrease in 2025 was primarily due to certain fixed assets becoming fully depreciated in fiscal 2024.</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Other Income and Expenses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185" w:lineRule="exact"/>
        <w:rPr>
          <w:sz w:val="20"/>
          <w:szCs w:val="20"/>
          <w:color w:val="auto"/>
        </w:rPr>
      </w:pPr>
    </w:p>
    <w:p>
      <w:pPr>
        <w:ind w:left="40" w:right="279"/>
        <w:spacing w:after="0" w:line="295" w:lineRule="auto"/>
        <w:rPr>
          <w:sz w:val="20"/>
          <w:szCs w:val="20"/>
          <w:color w:val="auto"/>
        </w:rPr>
      </w:pPr>
      <w:r>
        <w:rPr>
          <w:rFonts w:ascii="Times New Roman" w:cs="Times New Roman" w:eastAsia="Times New Roman" w:hAnsi="Times New Roman"/>
          <w:sz w:val="17"/>
          <w:szCs w:val="17"/>
          <w:color w:val="auto"/>
        </w:rPr>
        <w:t>Government grants decreased by $0.4 million, or 54% for the year ended December 31, 2025, as compared to the year ended December 31, 2024.</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expense and Interest expense - related parties</w:t>
      </w:r>
    </w:p>
    <w:p>
      <w:pPr>
        <w:spacing w:after="0" w:line="19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Interest expense and interest expense - related parties increased by $3.0 million, or 231%, for the year ended December 31, 2025 compared to the year ended December 31, 2024. The increase was primarily due to the issuance of convertible debt securities by the Company in the third and fourth quarters of 2024 and the first quarter of 2025 which accrued interest expense and the write-off of debt discount for a portion of 2024, and for ten months of the year in 2025. Additionally, average borrowings outstanding were higher during 2025 compared to 2024.</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Interest and Dividend Income</w:t>
      </w:r>
    </w:p>
    <w:p>
      <w:pPr>
        <w:spacing w:after="0" w:line="224" w:lineRule="exact"/>
        <w:rPr>
          <w:sz w:val="20"/>
          <w:szCs w:val="20"/>
          <w:color w:val="auto"/>
        </w:rPr>
      </w:pPr>
    </w:p>
    <w:p>
      <w:pPr>
        <w:ind w:left="40" w:right="179"/>
        <w:spacing w:after="0" w:line="295" w:lineRule="auto"/>
        <w:rPr>
          <w:sz w:val="20"/>
          <w:szCs w:val="20"/>
          <w:color w:val="auto"/>
        </w:rPr>
      </w:pPr>
      <w:r>
        <w:rPr>
          <w:rFonts w:ascii="Times New Roman" w:cs="Times New Roman" w:eastAsia="Times New Roman" w:hAnsi="Times New Roman"/>
          <w:sz w:val="17"/>
          <w:szCs w:val="17"/>
          <w:color w:val="auto"/>
        </w:rPr>
        <w:t>Interest and dividend income increased by $1.2 million for the year ended December 31, 2025 compared to the same period in 2024 as a result of higher short-term investment balances.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exchange gain (loss)</w:t>
      </w:r>
    </w:p>
    <w:p>
      <w:pPr>
        <w:spacing w:after="0" w:line="224" w:lineRule="exact"/>
        <w:rPr>
          <w:sz w:val="20"/>
          <w:szCs w:val="20"/>
          <w:color w:val="auto"/>
        </w:rPr>
      </w:pPr>
    </w:p>
    <w:p>
      <w:pPr>
        <w:ind w:left="40" w:right="159"/>
        <w:spacing w:after="0" w:line="295" w:lineRule="auto"/>
        <w:rPr>
          <w:sz w:val="20"/>
          <w:szCs w:val="20"/>
          <w:color w:val="auto"/>
        </w:rPr>
      </w:pPr>
      <w:r>
        <w:rPr>
          <w:rFonts w:ascii="Times New Roman" w:cs="Times New Roman" w:eastAsia="Times New Roman" w:hAnsi="Times New Roman"/>
          <w:sz w:val="17"/>
          <w:szCs w:val="17"/>
          <w:color w:val="auto"/>
        </w:rPr>
        <w:t>Foreign exchange gain (loss) decreased by $0.7 million for the year ended December 31, 2025 compared to the same period in 2024 due to the volatility of the US dollar to Canadian dollar exchange rate.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4"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7"/>
          <w:szCs w:val="17"/>
          <w:color w:val="auto"/>
        </w:rPr>
        <w:t>Historically, the Company’s primary sources of liquidity have been cash flows from private fundraising offerings from related parties or other investors and other financing activities to fund operations. For the years ended December 31, 2025 and 2024, the Company reported operating losses of $25.2 million and $10.4 million, respectively, and negative cash flows from operations of $16.5 million and $8.2 million, respectively. As of December 31, 2025, the Company had $97.2 million in cash and cash equivalents and $200.6 million in short-term investments. The Company had net working capital of $293.6 million and an accumulated deficit of $124.6 million. Management expects that significant on-going expenditures will be necessary to successfully implement our business plan.</w:t>
      </w:r>
    </w:p>
    <w:p>
      <w:pPr>
        <w:spacing w:after="0" w:line="177"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7"/>
          <w:szCs w:val="17"/>
          <w:color w:val="auto"/>
        </w:rPr>
        <w:t>The Company commenced trading on Nasdaq under the symbol “IMSR” on October 29, 2025, after completing its business combination with HCM II on October 28, 2025. Pursuant to the closing of the business combination, the Company received in excess of $292 million in gross proceeds before expenses, which included gross proceeds of $50.0 million from the sale of common stock in a private placement (the “PIPE”) and approximately $242.0 million from HCM II’s trust account following redemptions of less than 1%.</w:t>
      </w:r>
    </w:p>
    <w:p>
      <w:pPr>
        <w:spacing w:after="0" w:line="170" w:lineRule="exact"/>
        <w:rPr>
          <w:sz w:val="20"/>
          <w:szCs w:val="20"/>
          <w:color w:val="auto"/>
        </w:rPr>
      </w:pPr>
    </w:p>
    <w:p>
      <w:pPr>
        <w:ind w:left="40" w:right="259"/>
        <w:spacing w:after="0" w:line="264" w:lineRule="auto"/>
        <w:rPr>
          <w:sz w:val="20"/>
          <w:szCs w:val="20"/>
          <w:color w:val="auto"/>
        </w:rPr>
      </w:pPr>
      <w:r>
        <w:rPr>
          <w:rFonts w:ascii="Times New Roman" w:cs="Times New Roman" w:eastAsia="Times New Roman" w:hAnsi="Times New Roman"/>
          <w:sz w:val="17"/>
          <w:szCs w:val="17"/>
          <w:color w:val="auto"/>
        </w:rPr>
        <w:t>The Company’s future capital requirements will depend on many factors, including the timing and extent of spending to support further sales and marketing, research and development efforts, the Company’s commercial development and deployment of its IMSR Plant,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and beyond based on current operating plans.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Cash flows for the years ended December 31, 2025 and 2024</w:t>
      </w:r>
    </w:p>
    <w:p>
      <w:pPr>
        <w:spacing w:after="0" w:line="224" w:lineRule="exact"/>
        <w:rPr>
          <w:sz w:val="20"/>
          <w:szCs w:val="20"/>
          <w:color w:val="auto"/>
        </w:rPr>
      </w:pPr>
    </w:p>
    <w:p>
      <w:pPr>
        <w:ind w:left="40" w:right="459"/>
        <w:spacing w:after="0" w:line="295" w:lineRule="auto"/>
        <w:rPr>
          <w:sz w:val="20"/>
          <w:szCs w:val="20"/>
          <w:color w:val="auto"/>
        </w:rPr>
      </w:pPr>
      <w:r>
        <w:rPr>
          <w:rFonts w:ascii="Times New Roman" w:cs="Times New Roman" w:eastAsia="Times New Roman" w:hAnsi="Times New Roman"/>
          <w:sz w:val="17"/>
          <w:szCs w:val="17"/>
          <w:color w:val="auto"/>
        </w:rPr>
        <w:t>The following table summarizes the Company’s cash flows from operating, investing and financing activities for the years ended December 31, 2025 and 2024:</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38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9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9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(16,472,912)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(8,202,934)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9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gridSpan w:val="2"/>
            <w:vMerge w:val="continue"/>
          </w:tcPr>
          <w:p>
            <w:pPr>
              <w:spacing w:after="0"/>
              <w:rPr>
                <w:sz w:val="19"/>
                <w:szCs w:val="19"/>
                <w:color w:val="auto"/>
              </w:rPr>
            </w:pPr>
          </w:p>
        </w:tc>
        <w:tc>
          <w:tcPr>
            <w:tcW w:w="294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(200,638,289)</w:t>
            </w:r>
          </w:p>
        </w:tc>
        <w:tc>
          <w:tcPr>
            <w:tcW w:w="16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7"/>
                <w:szCs w:val="17"/>
                <w:color w:val="auto"/>
              </w:rPr>
              <w:t>(662,270)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Borders>
              <w:top w:val="single" w:sz="8" w:color="CCEEFF"/>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29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311,394,447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7,254,268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40" w:type="dxa"/>
            <w:vAlign w:val="bottom"/>
            <w:vMerge w:val="restart"/>
          </w:tcPr>
          <w:p>
            <w:pPr>
              <w:jc w:val="right"/>
              <w:ind w:right="1922"/>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224"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2025 and 2024 was $16.5 million and $8.2 million, an increase of $8.3 million. The increase was primarily due to an increase in the Company’s operating loss after non-cash items. The cause of the increase in the Company’s operating loss was an increase in engineering costs and general and administrative costs as discussed above.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224" w:lineRule="exact"/>
        <w:rPr>
          <w:sz w:val="20"/>
          <w:szCs w:val="20"/>
          <w:color w:val="auto"/>
        </w:rPr>
      </w:pPr>
    </w:p>
    <w:p>
      <w:pPr>
        <w:ind w:left="40" w:right="179"/>
        <w:spacing w:after="0" w:line="275"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2025 was $200.6 million. The corresponding amount for the year ended December 31, 2024 was cash used of $0.7 million. The increase was primarily related to an increase in the purchases of property and equipment and short-term investments.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224"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Cash provided by financing activities for the year ended December 31, 2025 was $311.4 million compared to $7.3 million for the year ended December 31, 2024, an increase of $304.1 million. The increase was a result of the net proceeds from the recapitalization of $220.8 million, net proceeds of $49.5 million from the PIPE, proceeds from the exercise of stock options and warrants of $4.5 million, proceeds from issuance of convertible notes of $11.0 million, and proceeds from issuance of preferred stock of $25.8 million.</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4" w:lineRule="exact"/>
        <w:rPr>
          <w:sz w:val="20"/>
          <w:szCs w:val="20"/>
          <w:color w:val="auto"/>
        </w:rPr>
      </w:pPr>
    </w:p>
    <w:p>
      <w:pPr>
        <w:ind w:left="40" w:right="199"/>
        <w:spacing w:after="0" w:line="275" w:lineRule="auto"/>
        <w:rPr>
          <w:sz w:val="20"/>
          <w:szCs w:val="20"/>
          <w:color w:val="auto"/>
        </w:rPr>
      </w:pPr>
      <w:r>
        <w:rPr>
          <w:rFonts w:ascii="Times New Roman" w:cs="Times New Roman" w:eastAsia="Times New Roman" w:hAnsi="Times New Roman"/>
          <w:sz w:val="17"/>
          <w:szCs w:val="17"/>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4" w:lineRule="exact"/>
        <w:rPr>
          <w:sz w:val="20"/>
          <w:szCs w:val="20"/>
          <w:color w:val="auto"/>
        </w:rPr>
      </w:pPr>
    </w:p>
    <w:p>
      <w:pPr>
        <w:ind w:left="40" w:right="59"/>
        <w:spacing w:after="0" w:line="265"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generally accepted accounting principles. In the preparation of these consolidated financial statements, we are required to use judgment in the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w:t>
      </w:r>
    </w:p>
    <w:p>
      <w:pPr>
        <w:spacing w:after="0" w:line="383"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See Note 2, Significant Accounting Policies, in our accompanying consolidated financial statements for a description of our significant accounting policies.</w:t>
      </w:r>
    </w:p>
    <w:p>
      <w:pPr>
        <w:spacing w:after="0" w:line="168" w:lineRule="exact"/>
        <w:rPr>
          <w:sz w:val="20"/>
          <w:szCs w:val="20"/>
          <w:color w:val="auto"/>
        </w:rPr>
      </w:pPr>
    </w:p>
    <w:p>
      <w:pPr>
        <w:ind w:left="40" w:right="299"/>
        <w:spacing w:after="0" w:line="295" w:lineRule="auto"/>
        <w:rPr>
          <w:sz w:val="20"/>
          <w:szCs w:val="20"/>
          <w:color w:val="auto"/>
        </w:rPr>
      </w:pPr>
      <w:r>
        <w:rPr>
          <w:rFonts w:ascii="Times New Roman" w:cs="Times New Roman" w:eastAsia="Times New Roman" w:hAnsi="Times New Roman"/>
          <w:sz w:val="17"/>
          <w:szCs w:val="17"/>
          <w:color w:val="auto"/>
        </w:rPr>
        <w:t>Accordingly, these are the policies and estimates we believe are the most critical to aid in fully understanding and evaluating our consolidated financial condition and results of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224"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Company’s reporting currency is the US dollar. The functional currency of each subsidiary is determined by the currency of the primary economic environment in which the entity operates. The functional currency of TEON is the Canadian dollar, that of Terrestrial Energy Limited, a company incorporated under the laws of England and Wales, the Pound Sterling, and that of Terrestrial Energy USA, Inc., the United States dollar.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(loss), which is reflected as a separate component of Stockholders’ Equity. The functional currency is translated into U.S. dollars for balance sheet accounts using currency exchange rates in effect as of the balance sheet date, and for revenue and expense accounts using a weighted-average exchange rate during the fiscal year.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consolidated statements of operations and comprehensive loss.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224"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79" w:lineRule="exact"/>
        <w:rPr>
          <w:sz w:val="20"/>
          <w:szCs w:val="20"/>
          <w:color w:val="auto"/>
        </w:rPr>
      </w:pPr>
    </w:p>
    <w:p>
      <w:pPr>
        <w:ind w:left="360" w:hanging="312"/>
        <w:spacing w:after="0"/>
        <w:tabs>
          <w:tab w:leader="none" w:pos="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in active markets for identical assets or liabilities.</w:t>
      </w:r>
    </w:p>
    <w:p>
      <w:pPr>
        <w:spacing w:after="0" w:line="31" w:lineRule="exact"/>
        <w:rPr>
          <w:rFonts w:ascii="Times New Roman" w:cs="Times New Roman" w:eastAsia="Times New Roman" w:hAnsi="Times New Roman"/>
          <w:sz w:val="17"/>
          <w:szCs w:val="17"/>
          <w:color w:val="auto"/>
        </w:rPr>
      </w:pPr>
    </w:p>
    <w:p>
      <w:pPr>
        <w:ind w:left="40" w:right="119" w:firstLine="8"/>
        <w:spacing w:after="0" w:line="256" w:lineRule="auto"/>
        <w:tabs>
          <w:tab w:leader="none" w:pos="35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7"/>
          <w:szCs w:val="17"/>
          <w:color w:val="auto"/>
        </w:rPr>
      </w:pPr>
    </w:p>
    <w:p>
      <w:pPr>
        <w:ind w:left="360" w:hanging="312"/>
        <w:spacing w:after="0"/>
        <w:tabs>
          <w:tab w:leader="none" w:pos="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for the asset or liability.</w:t>
      </w:r>
    </w:p>
    <w:p>
      <w:pPr>
        <w:spacing w:after="0" w:line="204" w:lineRule="exact"/>
        <w:rPr>
          <w:sz w:val="20"/>
          <w:szCs w:val="20"/>
          <w:color w:val="auto"/>
        </w:rPr>
      </w:pPr>
    </w:p>
    <w:p>
      <w:pPr>
        <w:ind w:left="40" w:right="159"/>
        <w:spacing w:after="0" w:line="295" w:lineRule="auto"/>
        <w:rPr>
          <w:sz w:val="20"/>
          <w:szCs w:val="20"/>
          <w:color w:val="auto"/>
        </w:rPr>
      </w:pPr>
      <w:r>
        <w:rPr>
          <w:rFonts w:ascii="Times New Roman" w:cs="Times New Roman" w:eastAsia="Times New Roman" w:hAnsi="Times New Roman"/>
          <w:sz w:val="17"/>
          <w:szCs w:val="17"/>
          <w:color w:val="auto"/>
        </w:rPr>
        <w:t>The carrying amounts of certain financial instruments, such as cash equivalents, prepaid expenses and other current assets, short-term investments, accounts payable and accrued liabilities, approximate fair value due to their relatively short maturities.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224"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The Company may enter into convertible notes, some of which contain, predominantly, fixed rate conversion features, whereby the outstanding principal and accrued interest may be converted by the holder, into common shares at a fixed discount to the market price of the common stock at the time of conversion. In this case, the convertible notes represent a financial instrument other than an outstanding share that embodies a conditional obligation that the issuer must or may settle by issuing a variable number of its equity shares. The Company records the convertible note liability at its fixed monetary amount by measuring and recording a premium, as applicable, on the convertible notes date in accordance with ASC Topic 480, Distinguishing Liabilities from Equity (“ASC 480”).</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4" w:lineRule="exact"/>
        <w:rPr>
          <w:sz w:val="20"/>
          <w:szCs w:val="20"/>
          <w:color w:val="auto"/>
        </w:rPr>
      </w:pPr>
    </w:p>
    <w:p>
      <w:pPr>
        <w:ind w:left="40" w:right="179"/>
        <w:spacing w:after="0" w:line="275" w:lineRule="auto"/>
        <w:rPr>
          <w:sz w:val="20"/>
          <w:szCs w:val="20"/>
          <w:color w:val="auto"/>
        </w:rPr>
      </w:pPr>
      <w:r>
        <w:rPr>
          <w:rFonts w:ascii="Times New Roman" w:cs="Times New Roman" w:eastAsia="Times New Roman" w:hAnsi="Times New Roman"/>
          <w:sz w:val="17"/>
          <w:szCs w:val="17"/>
          <w:color w:val="auto"/>
        </w:rPr>
        <w:t>The Company reviews the terms of warrants to purchase its common stock to determine whether warrants should be classified as liabilities or stockholders’ deficit in its consolidated balance sheets. In order for a warrant to be classified in stockholders’ deficit, the warrant must be (i) indexed to the Company’s equity and (ii) meet the conditions for equity classification.</w:t>
      </w:r>
    </w:p>
    <w:p>
      <w:pPr>
        <w:spacing w:after="0" w:line="163"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If a warrant does not meet the conditions for stockholders’ deficit classification, it is carried on the consolidated balance sheets as a warrant liability measured at fair value, with subsequent changes in the fair value of the warrant recorded in other items in the consolidated statements of operations and comprehensive loss. If a warrant meets both conditions for equity classification, the warrant is initially recorded, at its relative fair value on the date of issuance, in stockholders’ deficit in the consolidated balance sheets, and the amount initially recorded is not subsequently remeasured at fair value.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24"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granted to employees in accordance with ASC 718, “Compensation: Stock Compensation”, by measuring the grant date fair value of the award and recognizing the resulting expense over the period during which the employee is required to perform service in exchange for the award. Equity-based compensation expense is only recognized for awards subject to performance conditions if it is probable that the performance condition will be achieved. The Company accounts for forfeitures when they occur.</w:t>
      </w:r>
    </w:p>
    <w:p>
      <w:pPr>
        <w:spacing w:after="0" w:line="170"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its stock options granted.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177"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The Company grants restricted stock units (“RSUs”) to employees and non-employee directors as part of its equity-based compensation program. RSUs represent the right to receive shares of the Company’s common stock upon vesting, subject to specified service and/or performance conditions. RSUs do not have voting or dividend rights prior to the issuance of shares, except for dividend equivalents if and when declared, as applicable under the terms of the award agreements.</w:t>
      </w:r>
    </w:p>
    <w:p>
      <w:pPr>
        <w:spacing w:after="0" w:line="16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70"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7"/>
          <w:szCs w:val="17"/>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224"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Merger and Reverse Recapitalization</w:t>
      </w:r>
    </w:p>
    <w:p>
      <w:pPr>
        <w:spacing w:after="0" w:line="224"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7"/>
          <w:szCs w:val="17"/>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and evaluating the classification of certain financial instruments.</w:t>
      </w:r>
    </w:p>
    <w:p>
      <w:pPr>
        <w:spacing w:after="0" w:line="163"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77" w:lineRule="exact"/>
        <w:rPr>
          <w:sz w:val="20"/>
          <w:szCs w:val="20"/>
          <w:color w:val="auto"/>
        </w:rPr>
      </w:pPr>
    </w:p>
    <w:p>
      <w:pPr>
        <w:ind w:left="40" w:right="59"/>
        <w:spacing w:after="0" w:line="275" w:lineRule="auto"/>
        <w:rPr>
          <w:sz w:val="20"/>
          <w:szCs w:val="20"/>
          <w:color w:val="auto"/>
        </w:rPr>
      </w:pPr>
      <w:r>
        <w:rPr>
          <w:rFonts w:ascii="Times New Roman" w:cs="Times New Roman" w:eastAsia="Times New Roman" w:hAnsi="Times New Roman"/>
          <w:sz w:val="17"/>
          <w:szCs w:val="17"/>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224" w:lineRule="exact"/>
        <w:rPr>
          <w:sz w:val="20"/>
          <w:szCs w:val="20"/>
          <w:color w:val="auto"/>
        </w:rPr>
      </w:pPr>
    </w:p>
    <w:p>
      <w:pPr>
        <w:ind w:left="40" w:right="99"/>
        <w:spacing w:after="0" w:line="275" w:lineRule="auto"/>
        <w:rPr>
          <w:sz w:val="20"/>
          <w:szCs w:val="20"/>
          <w:color w:val="auto"/>
        </w:rPr>
      </w:pPr>
      <w:r>
        <w:rPr>
          <w:rFonts w:ascii="Times New Roman" w:cs="Times New Roman" w:eastAsia="Times New Roman" w:hAnsi="Times New Roman"/>
          <w:sz w:val="17"/>
          <w:szCs w:val="17"/>
          <w:color w:val="auto"/>
        </w:rPr>
        <w:t>A discussion of recently issued accounting standards applicable to the Company is described in Note 2, Recent Accounting Pronouncements, in the notes to our audited consolidated financial statements as of and for the years ended December 31, 2025 and 2024 contained elsewhere in this annual report.</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4"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expects to retain its emerging growth company status until the earliest of:</w:t>
      </w:r>
    </w:p>
    <w:p>
      <w:pPr>
        <w:spacing w:after="0" w:line="222" w:lineRule="exact"/>
        <w:rPr>
          <w:sz w:val="20"/>
          <w:szCs w:val="20"/>
          <w:color w:val="auto"/>
        </w:rPr>
      </w:pPr>
    </w:p>
    <w:p>
      <w:pPr>
        <w:ind w:left="360" w:hanging="312"/>
        <w:spacing w:after="0"/>
        <w:tabs>
          <w:tab w:leader="none" w:pos="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end of the fiscal year in which its annual revenues exceed $1.2 billion;</w:t>
      </w:r>
    </w:p>
    <w:p>
      <w:pPr>
        <w:spacing w:after="0" w:line="31" w:lineRule="exact"/>
        <w:rPr>
          <w:rFonts w:ascii="Times New Roman" w:cs="Times New Roman" w:eastAsia="Times New Roman" w:hAnsi="Times New Roman"/>
          <w:sz w:val="17"/>
          <w:szCs w:val="17"/>
          <w:color w:val="auto"/>
        </w:rPr>
      </w:pPr>
    </w:p>
    <w:p>
      <w:pPr>
        <w:ind w:left="360" w:hanging="312"/>
        <w:spacing w:after="0"/>
        <w:tabs>
          <w:tab w:leader="none" w:pos="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end of the fiscal year in which the fifth anniversary of its public company registration has occurred;</w:t>
      </w:r>
    </w:p>
    <w:p>
      <w:pPr>
        <w:spacing w:after="0" w:line="13" w:lineRule="exact"/>
        <w:rPr>
          <w:rFonts w:ascii="Times New Roman" w:cs="Times New Roman" w:eastAsia="Times New Roman" w:hAnsi="Times New Roman"/>
          <w:sz w:val="17"/>
          <w:szCs w:val="17"/>
          <w:color w:val="auto"/>
        </w:rPr>
      </w:pPr>
    </w:p>
    <w:p>
      <w:pPr>
        <w:ind w:left="360" w:hanging="312"/>
        <w:spacing w:after="0"/>
        <w:tabs>
          <w:tab w:leader="none" w:pos="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it has issued more than $1.0 billion in non-convertible debt during the previous three-year period; and</w:t>
      </w:r>
    </w:p>
    <w:p>
      <w:pPr>
        <w:spacing w:after="0" w:line="13" w:lineRule="exact"/>
        <w:rPr>
          <w:rFonts w:ascii="Times New Roman" w:cs="Times New Roman" w:eastAsia="Times New Roman" w:hAnsi="Times New Roman"/>
          <w:sz w:val="17"/>
          <w:szCs w:val="17"/>
          <w:color w:val="auto"/>
        </w:rPr>
      </w:pPr>
    </w:p>
    <w:p>
      <w:pPr>
        <w:ind w:left="360" w:hanging="312"/>
        <w:spacing w:after="0"/>
        <w:tabs>
          <w:tab w:leader="none" w:pos="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it qualifies as a large accelerated filer.</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r>
      <w:tr>
        <w:trPr>
          <w:trHeight w:val="194"/>
        </w:trPr>
        <w:tc>
          <w:tcPr>
            <w:tcW w:w="8120" w:type="dxa"/>
            <w:vAlign w:val="bottom"/>
            <w:gridSpan w:val="8"/>
          </w:tcPr>
          <w:p>
            <w:pPr>
              <w:spacing w:after="0" w:line="194" w:lineRule="exact"/>
              <w:rPr>
                <w:sz w:val="20"/>
                <w:szCs w:val="20"/>
                <w:color w:val="auto"/>
              </w:rPr>
            </w:pPr>
            <w:r>
              <w:rPr>
                <w:rFonts w:ascii="Times New Roman" w:cs="Times New Roman" w:eastAsia="Times New Roman" w:hAnsi="Times New Roman"/>
                <w:sz w:val="17"/>
                <w:szCs w:val="17"/>
                <w:color w:val="0000EE"/>
              </w:rPr>
              <w:t xml:space="preserve">Reports of Independent Registered Public Accounting Firm </w:t>
            </w:r>
            <w:r>
              <w:rPr>
                <w:rFonts w:ascii="Times New Roman" w:cs="Times New Roman" w:eastAsia="Times New Roman" w:hAnsi="Times New Roman"/>
                <w:sz w:val="17"/>
                <w:szCs w:val="17"/>
                <w:color w:val="000000"/>
              </w:rPr>
              <w:t>(PCAOB ID No. 1195)</w:t>
            </w:r>
          </w:p>
        </w:tc>
        <w:tc>
          <w:tcPr>
            <w:tcW w:w="24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ind w:left="300"/>
              <w:spacing w:after="0" w:line="194" w:lineRule="exact"/>
              <w:rPr>
                <w:sz w:val="20"/>
                <w:szCs w:val="20"/>
                <w:color w:val="auto"/>
              </w:rPr>
            </w:pPr>
            <w:r>
              <w:rPr>
                <w:rFonts w:ascii="Times New Roman" w:cs="Times New Roman" w:eastAsia="Times New Roman" w:hAnsi="Times New Roman"/>
                <w:sz w:val="17"/>
                <w:szCs w:val="17"/>
                <w:color w:val="auto"/>
              </w:rPr>
              <w:t>F-2</w:t>
            </w:r>
          </w:p>
        </w:tc>
      </w:tr>
      <w:tr>
        <w:trPr>
          <w:trHeight w:val="20"/>
        </w:trPr>
        <w:tc>
          <w:tcPr>
            <w:tcW w:w="3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06"/>
        </w:trPr>
        <w:tc>
          <w:tcPr>
            <w:tcW w:w="812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Consolidated Balance Sheets as of December 31, 2025 and 2024</w:t>
            </w:r>
          </w:p>
        </w:tc>
        <w:tc>
          <w:tcPr>
            <w:tcW w:w="2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F-3</w:t>
            </w:r>
          </w:p>
        </w:tc>
      </w:tr>
      <w:tr>
        <w:trPr>
          <w:trHeight w:val="20"/>
        </w:trPr>
        <w:tc>
          <w:tcPr>
            <w:tcW w:w="3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06"/>
        </w:trPr>
        <w:tc>
          <w:tcPr>
            <w:tcW w:w="812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Consolidated Statements of Operations and Comprehensive Loss for the Years Ended December 31, 2025 and 2024</w:t>
            </w:r>
          </w:p>
        </w:tc>
        <w:tc>
          <w:tcPr>
            <w:tcW w:w="2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F-4</w:t>
            </w:r>
          </w:p>
        </w:tc>
      </w:tr>
      <w:tr>
        <w:trPr>
          <w:trHeight w:val="306"/>
        </w:trPr>
        <w:tc>
          <w:tcPr>
            <w:tcW w:w="80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Consolidated Statements of Changes in Stockholders’ Equity (Deficit) for the Years Ended December 31, 2025 and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F-5</w:t>
            </w:r>
          </w:p>
        </w:tc>
      </w:tr>
      <w:tr>
        <w:trPr>
          <w:trHeight w:val="215"/>
        </w:trPr>
        <w:tc>
          <w:tcPr>
            <w:tcW w:w="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2024</w:t>
            </w:r>
          </w:p>
        </w:tc>
        <w:tc>
          <w:tcPr>
            <w:tcW w:w="29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6"/>
        </w:trPr>
        <w:tc>
          <w:tcPr>
            <w:tcW w:w="812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2025 and 2024</w:t>
            </w:r>
          </w:p>
        </w:tc>
        <w:tc>
          <w:tcPr>
            <w:tcW w:w="2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F-6</w:t>
            </w:r>
          </w:p>
        </w:tc>
      </w:tr>
      <w:tr>
        <w:trPr>
          <w:trHeight w:val="306"/>
        </w:trPr>
        <w:tc>
          <w:tcPr>
            <w:tcW w:w="6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18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F-7</w:t>
            </w:r>
          </w:p>
        </w:tc>
      </w:tr>
      <w:tr>
        <w:trPr>
          <w:trHeight w:val="20"/>
        </w:trPr>
        <w:tc>
          <w:tcPr>
            <w:tcW w:w="3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3019"/>
        <w:spacing w:after="0" w:line="297"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Stockholders and Board of Directors of Terrestrial Energy Inc.</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4"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Terrestrial Energy Inc. (the “Company”), as of December 31, 2025 and 2024, and the related consolidated statements of operations and comprehensive loss, changes in stockholders’ equity (deficit), and cash flows for each of the years in the two-year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controls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UHY LLP</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2025</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Melville, New York</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Expressed in U.S. Dollars)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660" w:type="dxa"/>
            <w:vAlign w:val="bottom"/>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140" w:type="dxa"/>
            <w:vAlign w:val="bottom"/>
            <w:gridSpan w:val="5"/>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66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2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62"/>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97,164,391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200,626,281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1,769,264</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299,559,936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3,291,886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834,795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707,749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1,814,333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63,611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302,980,424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5,331,604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LIABILITIES AND STOCKHOLDERS’ EQUITY (DEFICIT)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spacing w:after="0"/>
              <w:rPr>
                <w:sz w:val="17"/>
                <w:szCs w:val="17"/>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5,500,946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383,223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33,362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advance (Note 12)</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5,917,531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1,104,170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net of debt discount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13,708,832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on convertible notes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net of debt discount – related parties (Note 11)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2,371,994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on convertible notes – related parties (Note 11)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1,600,672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665,953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7,574,182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18,822,156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 (Note 18)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Stockholders’ Equity (Deficit)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Common shares, $0.0001 par value; 500,000,000 authorized shares; 81,771,422 and 39,159,901 shares</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8,177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as of December 31, 2025 and 2024, respectively</w:t>
            </w: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Exchangeable shares, $0.0001 par value; 24,011,017 shares issued and outstanding as of</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 and December 31, 2024</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418,814,641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82,774,184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(124,624,883)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(96,608,242)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1,205,906</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337,189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295,406,242</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(13,490,552)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302,980,424</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5,331,604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500" w:type="dxa"/>
            <w:vAlign w:val="bottom"/>
          </w:tcPr>
          <w:p>
            <w:pPr>
              <w:ind w:left="6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Engineering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9,767,996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5,176,932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14,266,775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4,168,576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1,161,704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25,196,475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10,601,899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(25,196,475)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(10,353,542)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 grants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323,496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(3,900,997)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(1,223,929)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 related party (Note 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(438,214)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(1,183,289)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and dividend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1,270,713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(57,214)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617,357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 INCOME</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(2,802,216)</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(27,998,691)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(11,464,445)</w:t>
            </w: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(17,950)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(28,016,641)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per common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Shares of Common Shares Outstanding, Basic and diluted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71,646,985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60,414,175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(28,016,641)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(260,731)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unrealized gains on short-term investments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1,129,448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(27,147,924)</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(11,089,885)</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1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1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Pr>
          <w:p>
            <w:pPr>
              <w:spacing w:after="0"/>
              <w:rPr>
                <w:sz w:val="10"/>
                <w:szCs w:val="10"/>
                <w:color w:val="auto"/>
              </w:rPr>
            </w:pPr>
          </w:p>
        </w:tc>
        <w:tc>
          <w:tcPr>
            <w:tcW w:w="480" w:type="dxa"/>
            <w:vAlign w:val="bottom"/>
            <w:gridSpan w:val="2"/>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spacing w:after="0"/>
              <w:rPr>
                <w:sz w:val="10"/>
                <w:szCs w:val="10"/>
                <w:color w:val="auto"/>
              </w:rPr>
            </w:pPr>
          </w:p>
        </w:tc>
        <w:tc>
          <w:tcPr>
            <w:tcW w:w="600" w:type="dxa"/>
            <w:vAlign w:val="bottom"/>
            <w:gridSpan w:val="2"/>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560" w:type="dxa"/>
            <w:vAlign w:val="bottom"/>
            <w:gridSpan w:val="2"/>
          </w:tcPr>
          <w:p>
            <w:pPr>
              <w:jc w:val="right"/>
              <w:ind w:right="368"/>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16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gridSpan w:val="2"/>
          </w:tcPr>
          <w:p>
            <w:pPr>
              <w:jc w:val="right"/>
              <w:ind w:right="28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0"/>
                <w:szCs w:val="10"/>
                <w:color w:val="auto"/>
              </w:rPr>
            </w:pP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Accumulated</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10"/>
                <w:szCs w:val="1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Attributable</w:t>
            </w:r>
            <w:r>
              <w:rPr>
                <w:rFonts w:ascii="Times New Roman" w:cs="Times New Roman" w:eastAsia="Times New Roman" w:hAnsi="Times New Roman"/>
                <w:sz w:val="10"/>
                <w:szCs w:val="1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Terrestrial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to</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tcPr>
          <w:p>
            <w:pPr>
              <w:jc w:val="center"/>
              <w:ind w:left="188"/>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80" w:type="dxa"/>
            <w:vAlign w:val="bottom"/>
          </w:tcPr>
          <w:p>
            <w:pPr>
              <w:spacing w:after="0"/>
              <w:rPr>
                <w:sz w:val="10"/>
                <w:szCs w:val="10"/>
                <w:color w:val="auto"/>
              </w:rPr>
            </w:pPr>
          </w:p>
        </w:tc>
        <w:tc>
          <w:tcPr>
            <w:tcW w:w="2280" w:type="dxa"/>
            <w:vAlign w:val="bottom"/>
            <w:gridSpan w:val="9"/>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Preferred ExchangeableCommon Exchangeable</w:t>
            </w:r>
          </w:p>
        </w:tc>
        <w:tc>
          <w:tcPr>
            <w:tcW w:w="920" w:type="dxa"/>
            <w:vAlign w:val="bottom"/>
            <w:gridSpan w:val="3"/>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Exchangeable</w:t>
            </w:r>
          </w:p>
        </w:tc>
        <w:tc>
          <w:tcPr>
            <w:tcW w:w="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Energy Inc.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gridSpan w:val="4"/>
          </w:tcPr>
          <w:p>
            <w:pPr>
              <w:jc w:val="center"/>
              <w:ind w:left="20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11"/>
                <w:szCs w:val="11"/>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100" w:type="dxa"/>
            <w:vAlign w:val="bottom"/>
          </w:tcPr>
          <w:p>
            <w:pPr>
              <w:spacing w:after="0"/>
              <w:rPr>
                <w:sz w:val="11"/>
                <w:szCs w:val="11"/>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gridSpan w:val="4"/>
          </w:tcPr>
          <w:p>
            <w:pPr>
              <w:ind w:left="120"/>
              <w:spacing w:after="0" w:line="111" w:lineRule="exact"/>
              <w:rPr>
                <w:sz w:val="20"/>
                <w:szCs w:val="20"/>
                <w:color w:val="auto"/>
              </w:rPr>
            </w:pPr>
            <w:r>
              <w:rPr>
                <w:rFonts w:ascii="Times New Roman" w:cs="Times New Roman" w:eastAsia="Times New Roman" w:hAnsi="Times New Roman"/>
                <w:sz w:val="10"/>
                <w:szCs w:val="10"/>
                <w:b w:val="1"/>
                <w:bCs w:val="1"/>
                <w:color w:val="auto"/>
                <w:w w:val="99"/>
              </w:rPr>
              <w:t>Amount*</w:t>
            </w:r>
          </w:p>
        </w:tc>
        <w:tc>
          <w:tcPr>
            <w:tcW w:w="100" w:type="dxa"/>
            <w:vAlign w:val="bottom"/>
          </w:tcPr>
          <w:p>
            <w:pPr>
              <w:spacing w:after="0"/>
              <w:rPr>
                <w:sz w:val="9"/>
                <w:szCs w:val="9"/>
                <w:color w:val="auto"/>
              </w:rPr>
            </w:pPr>
          </w:p>
        </w:tc>
        <w:tc>
          <w:tcPr>
            <w:tcW w:w="500" w:type="dxa"/>
            <w:vAlign w:val="bottom"/>
          </w:tcPr>
          <w:p>
            <w:pPr>
              <w:jc w:val="right"/>
              <w:ind w:right="28"/>
              <w:spacing w:after="0" w:line="111" w:lineRule="exact"/>
              <w:rPr>
                <w:sz w:val="20"/>
                <w:szCs w:val="20"/>
                <w:color w:val="auto"/>
              </w:rPr>
            </w:pPr>
            <w:r>
              <w:rPr>
                <w:rFonts w:ascii="Times New Roman" w:cs="Times New Roman" w:eastAsia="Times New Roman" w:hAnsi="Times New Roman"/>
                <w:sz w:val="10"/>
                <w:szCs w:val="10"/>
                <w:b w:val="1"/>
                <w:bCs w:val="1"/>
                <w:color w:val="auto"/>
              </w:rPr>
              <w:t>Shares*</w:t>
            </w:r>
          </w:p>
        </w:tc>
        <w:tc>
          <w:tcPr>
            <w:tcW w:w="52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9"/>
                <w:szCs w:val="9"/>
                <w:color w:val="auto"/>
              </w:rPr>
            </w:pPr>
          </w:p>
        </w:tc>
        <w:tc>
          <w:tcPr>
            <w:tcW w:w="440" w:type="dxa"/>
            <w:vAlign w:val="bottom"/>
          </w:tcPr>
          <w:p>
            <w:pPr>
              <w:jc w:val="right"/>
              <w:ind w:right="8"/>
              <w:spacing w:after="0" w:line="11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520" w:type="dxa"/>
            <w:vAlign w:val="bottom"/>
            <w:gridSpan w:val="2"/>
          </w:tcPr>
          <w:p>
            <w:pPr>
              <w:jc w:val="right"/>
              <w:ind w:right="8"/>
              <w:spacing w:after="0" w:line="111" w:lineRule="exact"/>
              <w:rPr>
                <w:sz w:val="20"/>
                <w:szCs w:val="20"/>
                <w:color w:val="auto"/>
              </w:rPr>
            </w:pPr>
            <w:r>
              <w:rPr>
                <w:rFonts w:ascii="Times New Roman" w:cs="Times New Roman" w:eastAsia="Times New Roman" w:hAnsi="Times New Roman"/>
                <w:sz w:val="10"/>
                <w:szCs w:val="10"/>
                <w:b w:val="1"/>
                <w:bCs w:val="1"/>
                <w:color w:val="auto"/>
              </w:rPr>
              <w:t>Amount*</w:t>
            </w:r>
          </w:p>
        </w:tc>
        <w:tc>
          <w:tcPr>
            <w:tcW w:w="440" w:type="dxa"/>
            <w:vAlign w:val="bottom"/>
          </w:tcPr>
          <w:p>
            <w:pPr>
              <w:jc w:val="right"/>
              <w:ind w:right="8"/>
              <w:spacing w:after="0" w:line="11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560" w:type="dxa"/>
            <w:vAlign w:val="bottom"/>
            <w:gridSpan w:val="2"/>
          </w:tcPr>
          <w:p>
            <w:pPr>
              <w:jc w:val="right"/>
              <w:ind w:right="48"/>
              <w:spacing w:after="0" w:line="111" w:lineRule="exact"/>
              <w:rPr>
                <w:sz w:val="20"/>
                <w:szCs w:val="20"/>
                <w:color w:val="auto"/>
              </w:rPr>
            </w:pPr>
            <w:r>
              <w:rPr>
                <w:rFonts w:ascii="Times New Roman" w:cs="Times New Roman" w:eastAsia="Times New Roman" w:hAnsi="Times New Roman"/>
                <w:sz w:val="10"/>
                <w:szCs w:val="10"/>
                <w:b w:val="1"/>
                <w:bCs w:val="1"/>
                <w:color w:val="auto"/>
              </w:rPr>
              <w:t>Amount*</w:t>
            </w:r>
          </w:p>
        </w:tc>
        <w:tc>
          <w:tcPr>
            <w:tcW w:w="440" w:type="dxa"/>
            <w:vAlign w:val="bottom"/>
          </w:tcPr>
          <w:p>
            <w:pPr>
              <w:jc w:val="right"/>
              <w:ind w:right="48"/>
              <w:spacing w:after="0" w:line="11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40" w:type="dxa"/>
            <w:vAlign w:val="bottom"/>
            <w:gridSpan w:val="3"/>
          </w:tcPr>
          <w:p>
            <w:pPr>
              <w:jc w:val="right"/>
              <w:ind w:right="188"/>
              <w:spacing w:after="0" w:line="111" w:lineRule="exact"/>
              <w:rPr>
                <w:sz w:val="20"/>
                <w:szCs w:val="20"/>
                <w:color w:val="auto"/>
              </w:rPr>
            </w:pPr>
            <w:r>
              <w:rPr>
                <w:rFonts w:ascii="Times New Roman" w:cs="Times New Roman" w:eastAsia="Times New Roman" w:hAnsi="Times New Roman"/>
                <w:sz w:val="10"/>
                <w:szCs w:val="10"/>
                <w:b w:val="1"/>
                <w:bCs w:val="1"/>
                <w:color w:val="auto"/>
              </w:rPr>
              <w:t>AmountCapital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ind w:right="128"/>
              <w:spacing w:after="0" w:line="111" w:lineRule="exact"/>
              <w:rPr>
                <w:sz w:val="20"/>
                <w:szCs w:val="20"/>
                <w:color w:val="auto"/>
              </w:rPr>
            </w:pPr>
            <w:r>
              <w:rPr>
                <w:rFonts w:ascii="Times New Roman" w:cs="Times New Roman" w:eastAsia="Times New Roman" w:hAnsi="Times New Roman"/>
                <w:sz w:val="10"/>
                <w:szCs w:val="10"/>
                <w:b w:val="1"/>
                <w:bCs w:val="1"/>
                <w:color w:val="auto"/>
              </w:rPr>
              <w:t>Deficit</w:t>
            </w:r>
          </w:p>
        </w:tc>
        <w:tc>
          <w:tcPr>
            <w:tcW w:w="800" w:type="dxa"/>
            <w:vAlign w:val="bottom"/>
            <w:gridSpan w:val="2"/>
          </w:tcPr>
          <w:p>
            <w:pPr>
              <w:ind w:left="120"/>
              <w:spacing w:after="0" w:line="111" w:lineRule="exact"/>
              <w:rPr>
                <w:sz w:val="20"/>
                <w:szCs w:val="20"/>
                <w:color w:val="auto"/>
              </w:rPr>
            </w:pPr>
            <w:r>
              <w:rPr>
                <w:rFonts w:ascii="Times New Roman" w:cs="Times New Roman" w:eastAsia="Times New Roman" w:hAnsi="Times New Roman"/>
                <w:sz w:val="10"/>
                <w:szCs w:val="10"/>
                <w:b w:val="1"/>
                <w:bCs w:val="1"/>
                <w:color w:val="auto"/>
                <w:w w:val="99"/>
              </w:rPr>
              <w:t>Equity (Deficit)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100"/>
              <w:spacing w:after="0" w:line="111"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Pr>
          <w:p>
            <w:pPr>
              <w:spacing w:after="0"/>
              <w:rPr>
                <w:sz w:val="9"/>
                <w:szCs w:val="9"/>
                <w:color w:val="auto"/>
              </w:rPr>
            </w:pPr>
          </w:p>
        </w:tc>
        <w:tc>
          <w:tcPr>
            <w:tcW w:w="520" w:type="dxa"/>
            <w:vAlign w:val="bottom"/>
          </w:tcPr>
          <w:p>
            <w:pPr>
              <w:jc w:val="right"/>
              <w:ind w:right="108"/>
              <w:spacing w:after="0" w:line="111"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4"/>
        </w:trPr>
        <w:tc>
          <w:tcPr>
            <w:tcW w:w="860" w:type="dxa"/>
            <w:vAlign w:val="bottom"/>
            <w:tcBorders>
              <w:top w:val="single" w:sz="8" w:color="CCEEFF"/>
            </w:tcBorders>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Balance, January 1,</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2024, as previously</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reported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137,672</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675,281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530,924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531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79,769,519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(58,336)</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(85,122,832)</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(5,410,299)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(4,875,688</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Retrospective</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application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recapitalization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(Note 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(137,672)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35,666,101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2,959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 (530,924)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(531)24,011,017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2,401</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4"/>
        </w:trPr>
        <w:tc>
          <w:tcPr>
            <w:tcW w:w="860" w:type="dxa"/>
            <w:vAlign w:val="bottom"/>
            <w:tcBorders>
              <w:top w:val="single" w:sz="8" w:color="CCEEFF"/>
            </w:tcBorders>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Adjusted balance -</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right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right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January 1, 2024</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36,341,382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3,634</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24,011,017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79,764,834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(58,336)</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(85,122,832)</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(5,410,299)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(4,875,688</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Stock-based</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670,243</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Acquisition of non-</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 interest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2,818,520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534,329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(534,611)</w:t>
            </w:r>
          </w:p>
        </w:tc>
        <w:tc>
          <w:tcPr>
            <w:tcW w:w="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Issuance of</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warrants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connection with</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net of tax</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2,006,982</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Loss on</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extinguishment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debt from related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parties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(202,204)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(202,204)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(202,204</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translation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adjustments</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395,525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395,525</w:t>
            </w: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(11,485,410)</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(11,485,410)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(11,485,410</w:t>
            </w:r>
          </w:p>
        </w:tc>
        <w:tc>
          <w:tcPr>
            <w:tcW w:w="0" w:type="dxa"/>
            <w:vAlign w:val="bottom"/>
          </w:tcPr>
          <w:p>
            <w:pPr>
              <w:spacing w:after="0"/>
              <w:rPr>
                <w:sz w:val="1"/>
                <w:szCs w:val="1"/>
                <w:color w:val="auto"/>
              </w:rPr>
            </w:pPr>
          </w:p>
        </w:tc>
      </w:tr>
      <w:tr>
        <w:trPr>
          <w:trHeight w:val="84"/>
        </w:trPr>
        <w:tc>
          <w:tcPr>
            <w:tcW w:w="860" w:type="dxa"/>
            <w:vAlign w:val="bottom"/>
          </w:tcPr>
          <w:p>
            <w:pPr>
              <w:spacing w:after="0" w:line="84" w:lineRule="exact"/>
              <w:rPr>
                <w:sz w:val="20"/>
                <w:szCs w:val="20"/>
                <w:color w:val="auto"/>
              </w:rPr>
            </w:pPr>
            <w:r>
              <w:rPr>
                <w:rFonts w:ascii="Times New Roman" w:cs="Times New Roman" w:eastAsia="Times New Roman" w:hAnsi="Times New Roman"/>
                <w:sz w:val="9"/>
                <w:szCs w:val="9"/>
                <w:color w:val="auto"/>
              </w:rPr>
              <w:t>Balance,</w:t>
            </w:r>
          </w:p>
        </w:tc>
        <w:tc>
          <w:tcPr>
            <w:tcW w:w="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December 31, 2024</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39,159,901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3,916</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24,011,017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$ 2,401</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82,774,184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337,189</w:t>
            </w:r>
          </w:p>
        </w:tc>
        <w:tc>
          <w:tcPr>
            <w:tcW w:w="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(96,608,242)</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(13,490,552)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(13,490,552</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Stock-based</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3,103,702</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Issuance of Series</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A-1 preferred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shares for cash*</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2,812,708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25,796,919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25,797,201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25,797,201</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Issuance of</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warrants in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connection with</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of tax</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2,594,531</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Shares issued upon</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exercise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warrants</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2,011,632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4,499,799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4,500,000</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Shares issued upon</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options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67,054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Merger financing</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28,742,610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2,874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243,064,103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243,066,977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243,066,977</w:t>
            </w: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Transaction costs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(22,305,729)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(22,305,729)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(22,305,729</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Conversion of</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convertible notes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to Common Shares</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3,977,517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29,787,503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29,787,900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29,787,900</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Issuance of shares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 PIPE investors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49,499,500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49,500,000</w:t>
            </w:r>
          </w:p>
        </w:tc>
        <w:tc>
          <w:tcPr>
            <w:tcW w:w="0" w:type="dxa"/>
            <w:vAlign w:val="bottom"/>
          </w:tcPr>
          <w:p>
            <w:pPr>
              <w:spacing w:after="0"/>
              <w:rPr>
                <w:sz w:val="1"/>
                <w:szCs w:val="1"/>
                <w:color w:val="auto"/>
              </w:rPr>
            </w:pPr>
          </w:p>
        </w:tc>
      </w:tr>
      <w:tr>
        <w:trPr>
          <w:trHeight w:val="104"/>
        </w:trPr>
        <w:tc>
          <w:tcPr>
            <w:tcW w:w="8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Currency</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translation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adjustments</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(260,731)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(260,731)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(260,731</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Change in</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unrealized gains 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short-term</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1,129,448</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1,129,448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1,129,448</w:t>
            </w:r>
          </w:p>
        </w:tc>
        <w:tc>
          <w:tcPr>
            <w:tcW w:w="0" w:type="dxa"/>
            <w:vAlign w:val="bottom"/>
          </w:tcPr>
          <w:p>
            <w:pPr>
              <w:spacing w:after="0"/>
              <w:rPr>
                <w:sz w:val="1"/>
                <w:szCs w:val="1"/>
                <w:color w:val="auto"/>
              </w:rPr>
            </w:pPr>
          </w:p>
        </w:tc>
      </w:tr>
      <w:tr>
        <w:trPr>
          <w:trHeight w:val="117"/>
        </w:trPr>
        <w:tc>
          <w:tcPr>
            <w:tcW w:w="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(28,016,641)</w:t>
            </w:r>
          </w:p>
        </w:tc>
        <w:tc>
          <w:tcPr>
            <w:tcW w:w="1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(28,016,641)</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(28,016,641</w:t>
            </w:r>
          </w:p>
        </w:tc>
        <w:tc>
          <w:tcPr>
            <w:tcW w:w="0" w:type="dxa"/>
            <w:vAlign w:val="bottom"/>
          </w:tcPr>
          <w:p>
            <w:pPr>
              <w:spacing w:after="0"/>
              <w:rPr>
                <w:sz w:val="1"/>
                <w:szCs w:val="1"/>
                <w:color w:val="auto"/>
              </w:rPr>
            </w:pPr>
          </w:p>
        </w:tc>
      </w:tr>
      <w:tr>
        <w:trPr>
          <w:trHeight w:val="84"/>
        </w:trPr>
        <w:tc>
          <w:tcPr>
            <w:tcW w:w="860" w:type="dxa"/>
            <w:vAlign w:val="bottom"/>
            <w:shd w:val="clear" w:color="auto" w:fill="CCEEFF"/>
          </w:tcPr>
          <w:p>
            <w:pPr>
              <w:spacing w:after="0" w:line="84" w:lineRule="exact"/>
              <w:rPr>
                <w:sz w:val="20"/>
                <w:szCs w:val="20"/>
                <w:color w:val="auto"/>
              </w:rPr>
            </w:pPr>
            <w:r>
              <w:rPr>
                <w:rFonts w:ascii="Times New Roman" w:cs="Times New Roman" w:eastAsia="Times New Roman" w:hAnsi="Times New Roman"/>
                <w:sz w:val="9"/>
                <w:szCs w:val="9"/>
                <w:color w:val="auto"/>
              </w:rPr>
              <w:t>Balance,</w:t>
            </w:r>
          </w:p>
        </w:tc>
        <w:tc>
          <w:tcPr>
            <w:tcW w:w="80" w:type="dxa"/>
            <w:vAlign w:val="bottom"/>
            <w:vMerge w:val="restart"/>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81,771,422</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8,177</w:t>
            </w:r>
          </w:p>
        </w:tc>
        <w:tc>
          <w:tcPr>
            <w:tcW w:w="12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24,011,017</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$ 2,401</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418,814,641</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1,205,906</w:t>
            </w:r>
          </w:p>
        </w:tc>
        <w:tc>
          <w:tcPr>
            <w:tcW w:w="20" w:type="dxa"/>
            <w:vAlign w:val="bottom"/>
            <w:shd w:val="clear" w:color="auto" w:fill="CCEEFF"/>
          </w:tcPr>
          <w:p>
            <w:pPr>
              <w:spacing w:after="0"/>
              <w:rPr>
                <w:sz w:val="7"/>
                <w:szCs w:val="7"/>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(124,624,883)</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295,406,242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295,406,242</w:t>
            </w:r>
          </w:p>
        </w:tc>
        <w:tc>
          <w:tcPr>
            <w:tcW w:w="0" w:type="dxa"/>
            <w:vAlign w:val="bottom"/>
          </w:tcPr>
          <w:p>
            <w:pPr>
              <w:spacing w:after="0"/>
              <w:rPr>
                <w:sz w:val="1"/>
                <w:szCs w:val="1"/>
                <w:color w:val="auto"/>
              </w:rPr>
            </w:pPr>
          </w:p>
        </w:tc>
      </w:tr>
      <w:tr>
        <w:trPr>
          <w:trHeight w:val="138"/>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 2025</w:t>
            </w:r>
          </w:p>
        </w:tc>
        <w:tc>
          <w:tcPr>
            <w:tcW w:w="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80" w:type="dxa"/>
            <w:vAlign w:val="bottom"/>
            <w:tcBorders>
              <w:right w:val="single" w:sz="8" w:color="CCEEFF"/>
            </w:tcBorders>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-7620</wp:posOffset>
            </wp:positionV>
            <wp:extent cx="330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Share amounts have been retroactively restated to give effect to the Business Combination.</w:t>
      </w:r>
    </w:p>
    <w:p>
      <w:pPr>
        <w:spacing w:after="0" w:line="2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599313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93130" cy="24765"/>
                    </a:xfrm>
                    <a:prstGeom prst="rect">
                      <a:avLst/>
                    </a:prstGeom>
                    <a:noFill/>
                  </pic:spPr>
                </pic:pic>
              </a:graphicData>
            </a:graphic>
          </wp:anchor>
        </w:drawing>
      </w:r>
    </w:p>
    <w:p>
      <w:pPr>
        <w:sectPr>
          <w:pgSz w:w="11900" w:h="16838" w:orient="portrait"/>
          <w:cols w:equalWidth="0" w:num="1">
            <w:col w:w="10440"/>
          </w:cols>
          <w:pgMar w:left="1220" w:top="500" w:right="239"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and 2024</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(Expressed in U.S. Dollars)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440" w:type="dxa"/>
            <w:vAlign w:val="bottom"/>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(28,016,641)</w:t>
            </w:r>
          </w:p>
        </w:tc>
        <w:tc>
          <w:tcPr>
            <w:tcW w:w="440" w:type="dxa"/>
            <w:vAlign w:val="bottom"/>
            <w:gridSpan w:val="2"/>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(11,485,410)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1,161,704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1,256,391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1,183,289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Amortization of debt discount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2,137,984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802,573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3,103,702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670,243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Unrealized foreign currency transaction gain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(807,193)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(812,849)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Noncash lease expense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471,362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152,086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Deferred income taxes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15,401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(15,401)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(1,750,631)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166,315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5,366,309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(196,299)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Accrued interest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1,847,554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152,571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Accrued interest - related party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326,047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37,848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Operating lease payments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(328,510)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(133,454)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(16,472,912)</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(8,202,934)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Purchases of intangible assets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(86,150)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(54,404)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(1,055,307)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(607,866)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(199,496,832)</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40" w:type="dxa"/>
            <w:vAlign w:val="bottom"/>
            <w:tcBorders>
              <w:bottom w:val="single" w:sz="8" w:color="CCEEFF"/>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(200,638,289)</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(662,270)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9,335,000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6,563,000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issuance of convertible notes – related parties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1,650,000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Series A-1 preferred shares issuance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25,797,201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the exercise of stock options for common shares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warrant exercise for common shares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4,500,000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issuance of shares to PIPE investors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49,500,000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merger financing</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243,066,977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180"/>
              <w:spacing w:after="0" w:line="144" w:lineRule="exact"/>
              <w:rPr>
                <w:sz w:val="20"/>
                <w:szCs w:val="20"/>
                <w:color w:val="auto"/>
              </w:rPr>
            </w:pPr>
            <w:r>
              <w:rPr>
                <w:rFonts w:ascii="Times New Roman" w:cs="Times New Roman" w:eastAsia="Times New Roman" w:hAnsi="Times New Roman"/>
                <w:sz w:val="14"/>
                <w:szCs w:val="14"/>
                <w:color w:val="auto"/>
              </w:rPr>
              <w:t>Payment of merger and recapitalization related transaction costs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(22,305,729)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Proceeds from related party advances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Borders>
              <w:bottom w:val="single" w:sz="8" w:color="CCEEFF"/>
            </w:tcBorders>
          </w:tcPr>
          <w:p>
            <w:pPr>
              <w:ind w:left="180"/>
              <w:spacing w:after="0" w:line="144" w:lineRule="exact"/>
              <w:rPr>
                <w:sz w:val="20"/>
                <w:szCs w:val="20"/>
                <w:color w:val="auto"/>
              </w:rPr>
            </w:pPr>
            <w:r>
              <w:rPr>
                <w:rFonts w:ascii="Times New Roman" w:cs="Times New Roman" w:eastAsia="Times New Roman" w:hAnsi="Times New Roman"/>
                <w:sz w:val="14"/>
                <w:szCs w:val="14"/>
                <w:color w:val="auto"/>
              </w:rPr>
              <w:t>Repayment of finance lease liabilities</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(149,138)</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(58,732)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311,394,447</w:t>
            </w:r>
          </w:p>
        </w:tc>
        <w:tc>
          <w:tcPr>
            <w:tcW w:w="2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7,254,268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(140,650)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32,201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 during the year</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94,142,596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(1,578,735)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3,021,795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4,600,530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4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97,164,391</w:t>
            </w:r>
          </w:p>
        </w:tc>
        <w:tc>
          <w:tcPr>
            <w:tcW w:w="2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3,021,795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514,431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4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Conversion of convertible notes to common shares</w:t>
            </w:r>
          </w:p>
        </w:tc>
        <w:tc>
          <w:tcPr>
            <w:tcW w:w="20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29,787,900</w:t>
            </w:r>
          </w:p>
        </w:tc>
        <w:tc>
          <w:tcPr>
            <w:tcW w:w="440" w:type="dxa"/>
            <w:vAlign w:val="bottom"/>
            <w:gridSpan w:val="2"/>
            <w:shd w:val="clear" w:color="auto" w:fill="CCEEFF"/>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Initial recognition of finance leases</w:t>
            </w:r>
          </w:p>
        </w:tc>
        <w:tc>
          <w:tcPr>
            <w:tcW w:w="20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42,590</w:t>
            </w:r>
          </w:p>
        </w:tc>
        <w:tc>
          <w:tcPr>
            <w:tcW w:w="440" w:type="dxa"/>
            <w:vAlign w:val="bottom"/>
            <w:gridSpan w:val="2"/>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Recognition of warrants in connection with convertible notes, net of tax</w:t>
            </w:r>
          </w:p>
        </w:tc>
        <w:tc>
          <w:tcPr>
            <w:tcW w:w="20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2,594,531</w:t>
            </w:r>
          </w:p>
        </w:tc>
        <w:tc>
          <w:tcPr>
            <w:tcW w:w="440" w:type="dxa"/>
            <w:vAlign w:val="bottom"/>
            <w:gridSpan w:val="2"/>
            <w:shd w:val="clear" w:color="auto" w:fill="CCEEFF"/>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2,006,982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Related party debt extinguishment</w:t>
            </w:r>
          </w:p>
        </w:tc>
        <w:tc>
          <w:tcPr>
            <w:tcW w:w="200" w:type="dxa"/>
            <w:vAlign w:val="bottom"/>
            <w:gridSpan w:val="2"/>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202,204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Acquisition of non-controlling interest</w:t>
            </w:r>
          </w:p>
        </w:tc>
        <w:tc>
          <w:tcPr>
            <w:tcW w:w="200" w:type="dxa"/>
            <w:vAlign w:val="bottom"/>
            <w:gridSpan w:val="2"/>
            <w:shd w:val="clear" w:color="auto" w:fill="CCEEFF"/>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ind w:right="128"/>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534,611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24"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Redomestication</w:t>
      </w:r>
    </w:p>
    <w:p>
      <w:pPr>
        <w:spacing w:after="0" w:line="224"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Prior to April 5, 2024, the Company was incorporated under the Business Corporations Act of Ontario and was domiciled in Canada. On December 13, 2023 the Company entered into an agreement with Terrestrial Energy Delaware Inc. (“DelawareCo”) and Terrestrial Energy Canada (Exchange) Inc. (the “Arrangement Agreement”) pursuant to which TEI completed a corporate redomicile under the laws of the State of Delaware by way of a statutory plan of arrangement under Section 182 of the Business Corporations Act (Ontario) (the “Arrangement”) that provided for, among other things:</w:t>
      </w:r>
    </w:p>
    <w:p>
      <w:pPr>
        <w:spacing w:after="0" w:line="170" w:lineRule="exact"/>
        <w:rPr>
          <w:sz w:val="20"/>
          <w:szCs w:val="20"/>
          <w:color w:val="auto"/>
        </w:rPr>
      </w:pPr>
    </w:p>
    <w:p>
      <w:pPr>
        <w:ind w:left="680" w:right="119" w:hanging="319"/>
        <w:spacing w:after="0" w:line="261"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Class A Common Shares, at their election and subject to applicable eligibility criteria, for their Class A Common Shares of either: (i) shares of common stock of Terrestrial Energy Delaware Inc., par value $0.001 per share (the “DelawareCo Common Shares”), a corporation existing under the laws of the State of Delaware (“DelawareCo”), on a one-for-one basis; or (ii) common exchangeable shares in the capital of Terrestrial Energy Canada (Exchange) Inc. (the “Common Exchangeable Shares”), a corporation existing under the laws of the Province of Ontario (“ExchangeCo”) and a direct wholly-owned subsidiary of Terrestrial Energy Canada (Call) Inc., a corporation existing under the laws of the Province of Ontario and a direct, wholly-owned subsidiary of DelawareCo (“CallCo”), on a one-for-one basis;</w:t>
      </w:r>
    </w:p>
    <w:p>
      <w:pPr>
        <w:spacing w:after="0" w:line="179" w:lineRule="exact"/>
        <w:rPr>
          <w:rFonts w:ascii="Times New Roman" w:cs="Times New Roman" w:eastAsia="Times New Roman" w:hAnsi="Times New Roman"/>
          <w:sz w:val="17"/>
          <w:szCs w:val="17"/>
          <w:color w:val="auto"/>
        </w:rPr>
      </w:pPr>
    </w:p>
    <w:p>
      <w:pPr>
        <w:ind w:left="680" w:right="79" w:hanging="319"/>
        <w:spacing w:after="0" w:line="269"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Series 4 Preferred Shares, at their election and subject to applicable eligibility criteria, for their Series 4 Preferred Shares of either: (i) shares of Series A preferred stock in the capital of DelawareCo, par value $0.001 per share (the “DelawareCo Series A Preferred Shares”), on a one-for-one basis, or (ii) Preferred Exchangeable Shares in the capital of ExchangeCo on a one-for-one basis;</w:t>
      </w:r>
    </w:p>
    <w:p>
      <w:pPr>
        <w:spacing w:after="0" w:line="167" w:lineRule="exact"/>
        <w:rPr>
          <w:rFonts w:ascii="Times New Roman" w:cs="Times New Roman" w:eastAsia="Times New Roman" w:hAnsi="Times New Roman"/>
          <w:sz w:val="17"/>
          <w:szCs w:val="17"/>
          <w:color w:val="auto"/>
        </w:rPr>
      </w:pPr>
    </w:p>
    <w:p>
      <w:pPr>
        <w:ind w:left="680" w:right="479" w:hanging="319"/>
        <w:spacing w:after="0" w:line="295"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to holders of Exchangeable Shares of voting shares in the Company proportionate to their beneficial ownership interest;</w:t>
      </w:r>
    </w:p>
    <w:p>
      <w:pPr>
        <w:spacing w:after="0" w:line="146" w:lineRule="exact"/>
        <w:rPr>
          <w:rFonts w:ascii="Times New Roman" w:cs="Times New Roman" w:eastAsia="Times New Roman" w:hAnsi="Times New Roman"/>
          <w:sz w:val="17"/>
          <w:szCs w:val="17"/>
          <w:color w:val="auto"/>
        </w:rPr>
      </w:pPr>
    </w:p>
    <w:p>
      <w:pPr>
        <w:ind w:left="680" w:right="379" w:hanging="319"/>
        <w:spacing w:after="0" w:line="295"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DelawareCo, CallCo and ExchangeCo into the Exchange and Support Agreement (the “Exchange and Support Agreement”);</w:t>
      </w:r>
    </w:p>
    <w:p>
      <w:pPr>
        <w:spacing w:after="0" w:line="146" w:lineRule="exact"/>
        <w:rPr>
          <w:rFonts w:ascii="Times New Roman" w:cs="Times New Roman" w:eastAsia="Times New Roman" w:hAnsi="Times New Roman"/>
          <w:sz w:val="17"/>
          <w:szCs w:val="17"/>
          <w:color w:val="auto"/>
        </w:rPr>
      </w:pPr>
    </w:p>
    <w:p>
      <w:pPr>
        <w:ind w:left="680" w:right="379" w:hanging="319"/>
        <w:spacing w:after="0" w:line="295" w:lineRule="auto"/>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 outstanding warrants issued by Terrestrial Energy (Ontario) Inc. (“TEON”) for warrants issued by TEI; and</w:t>
      </w:r>
    </w:p>
    <w:p>
      <w:pPr>
        <w:spacing w:after="0" w:line="146" w:lineRule="exact"/>
        <w:rPr>
          <w:rFonts w:ascii="Times New Roman" w:cs="Times New Roman" w:eastAsia="Times New Roman" w:hAnsi="Times New Roman"/>
          <w:sz w:val="17"/>
          <w:szCs w:val="17"/>
          <w:color w:val="auto"/>
        </w:rPr>
      </w:pPr>
    </w:p>
    <w:p>
      <w:pPr>
        <w:ind w:left="680" w:hanging="319"/>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of options exercisable for TEON securities for options exercisable for TEI securities.</w:t>
      </w:r>
    </w:p>
    <w:p>
      <w:pPr>
        <w:spacing w:after="0" w:line="222" w:lineRule="exact"/>
        <w:rPr>
          <w:sz w:val="20"/>
          <w:szCs w:val="20"/>
          <w:color w:val="auto"/>
        </w:rPr>
      </w:pPr>
    </w:p>
    <w:p>
      <w:pPr>
        <w:jc w:val="both"/>
        <w:ind w:left="40" w:right="339"/>
        <w:spacing w:after="0" w:line="269" w:lineRule="auto"/>
        <w:rPr>
          <w:sz w:val="20"/>
          <w:szCs w:val="20"/>
          <w:color w:val="auto"/>
        </w:rPr>
      </w:pPr>
      <w:r>
        <w:rPr>
          <w:rFonts w:ascii="Times New Roman" w:cs="Times New Roman" w:eastAsia="Times New Roman" w:hAnsi="Times New Roman"/>
          <w:sz w:val="17"/>
          <w:szCs w:val="17"/>
          <w:color w:val="auto"/>
        </w:rPr>
        <w:t>The Arrangement became effective on April 5, 2024. Based on an assessment of the ownership and control of the Company both prior to and after the reorganization, the reorganization was accounted for as a transaction under common control. As a result, the assets and liabilities of the transferred entities were recognized at their carrying amounts at the date of transfer. In addition, the reorganization has been treated with retrospective application as of the beginning of the reporting period.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2025 Merger Agreement</w:t>
      </w:r>
    </w:p>
    <w:p>
      <w:pPr>
        <w:spacing w:after="0" w:line="224"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7"/>
          <w:szCs w:val="17"/>
          <w:color w:val="auto"/>
        </w:rPr>
        <w:t>On October 28, 2025 (the “Closing Date”), Terrestrial Energy Inc. (formerly HCM II Acquisition Corp. “HCM II”) consummated the transactions set forth by the Business Combination Agreement dated March 26, 2025 with Terrestrial Energy Development Inc. (formerly Terrestrial Energy, Inc.) (“TEDI”) and Merger Sub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w:t>
      </w:r>
    </w:p>
    <w:p>
      <w:pPr>
        <w:spacing w:after="0" w:line="386" w:lineRule="exact"/>
        <w:rPr>
          <w:sz w:val="20"/>
          <w:szCs w:val="20"/>
          <w:color w:val="auto"/>
        </w:rPr>
      </w:pPr>
    </w:p>
    <w:p>
      <w:pPr>
        <w:ind w:left="40" w:right="299"/>
        <w:spacing w:after="0" w:line="269"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 Additional information regarding the accounting is included in Note 3, “Reverse Recapitalization”.</w:t>
      </w:r>
    </w:p>
    <w:p>
      <w:pPr>
        <w:spacing w:after="0" w:line="168" w:lineRule="exact"/>
        <w:rPr>
          <w:sz w:val="20"/>
          <w:szCs w:val="20"/>
          <w:color w:val="auto"/>
        </w:rPr>
      </w:pPr>
    </w:p>
    <w:p>
      <w:pPr>
        <w:ind w:left="40" w:right="199"/>
        <w:spacing w:after="0" w:line="295" w:lineRule="auto"/>
        <w:rPr>
          <w:sz w:val="20"/>
          <w:szCs w:val="20"/>
          <w:color w:val="auto"/>
        </w:rPr>
      </w:pPr>
      <w:r>
        <w:rPr>
          <w:rFonts w:ascii="Times New Roman" w:cs="Times New Roman" w:eastAsia="Times New Roman" w:hAnsi="Times New Roman"/>
          <w:sz w:val="17"/>
          <w:szCs w:val="17"/>
          <w:color w:val="auto"/>
        </w:rPr>
        <w:t>The Business Combination closed on Tuesday, October 28, 2025, with trading commencing on the Nasdaq Stock Market LLC (“Nasdaq”) on Wednesday, October 29, 2025.</w:t>
      </w:r>
    </w:p>
    <w:p>
      <w:pPr>
        <w:spacing w:after="0" w:line="146" w:lineRule="exact"/>
        <w:rPr>
          <w:sz w:val="20"/>
          <w:szCs w:val="20"/>
          <w:color w:val="auto"/>
        </w:rPr>
      </w:pPr>
    </w:p>
    <w:p>
      <w:pPr>
        <w:ind w:left="40" w:right="699"/>
        <w:spacing w:after="0" w:line="295" w:lineRule="auto"/>
        <w:rPr>
          <w:sz w:val="20"/>
          <w:szCs w:val="20"/>
          <w:color w:val="auto"/>
        </w:rPr>
      </w:pPr>
      <w:r>
        <w:rPr>
          <w:rFonts w:ascii="Times New Roman" w:cs="Times New Roman" w:eastAsia="Times New Roman" w:hAnsi="Times New Roman"/>
          <w:sz w:val="17"/>
          <w:szCs w:val="17"/>
          <w:color w:val="auto"/>
        </w:rPr>
        <w:t>Upon closing of the transaction, the combined company became known as Terrestrial Energy Inc. and its securities and warrants were listed on Nasdaq under the symbols “IMSR” and “IMSRW”, respectively.</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Significant Accounting Policies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Basis of Presentation and Principles of Consolidation</w:t>
      </w:r>
    </w:p>
    <w:p>
      <w:pPr>
        <w:spacing w:after="0" w:line="224" w:lineRule="exact"/>
        <w:rPr>
          <w:sz w:val="20"/>
          <w:szCs w:val="20"/>
          <w:color w:val="auto"/>
        </w:rPr>
      </w:pPr>
    </w:p>
    <w:p>
      <w:pPr>
        <w:ind w:left="40" w:right="139"/>
        <w:spacing w:after="0" w:line="269"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in accordance with accounting principles generally accepted in the United States of America (“U.S. GAAP”) and are the consolidated financial statements of the Company and its subsidiaries, each of which are controlled, and are based on the financial position and results of operations of the Company as a standalone company. Intercompany balances and transactions between consolidated entities have been eliminated.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Emerging Growth Company Status</w:t>
      </w:r>
    </w:p>
    <w:p>
      <w:pPr>
        <w:spacing w:after="0" w:line="224"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The Company is expected to be an emerging growth company, as defined in Section 2(a) of the Securities Act of 1933, as amended, (the “Securities Act”), as modified by the Jumpstart Our Business Startups Act of 2012 (the “JOBS Act”). Under the JOBS Act, emerging growth companies can delay adopting new or revised accounting standards issued subsequent to the enactment of the JOBS Act, until such time as to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w:t>
      </w:r>
    </w:p>
    <w:p>
      <w:pPr>
        <w:spacing w:after="0" w:line="1" w:lineRule="exact"/>
        <w:rPr>
          <w:sz w:val="20"/>
          <w:szCs w:val="20"/>
          <w:color w:val="auto"/>
        </w:rPr>
      </w:pPr>
    </w:p>
    <w:p>
      <w:pPr>
        <w:jc w:val="both"/>
        <w:ind w:left="40" w:right="659" w:firstLine="8"/>
        <w:spacing w:after="0" w:line="264" w:lineRule="auto"/>
        <w:tabs>
          <w:tab w:leader="none" w:pos="2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24"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revenue recognition, determination of deferred income for government assistance, VIE determination, useful life of property and equipment and intangible assets, fair value of stock options granted, recognition of deferred income tax assets, determination of incremental borrowing rate used to measure lease liabilities, warrants, embedded derivatives in convertible notes, and estimates related to accounting for the merger and reverse recapitalization, are reasonable based on information available at the time they are made. These estimates, judgments and assumptions can affect the reported amounts of assets and liabilities as of the date of the consolidated financial statements, as well as amounts reported on the statements of operations during the periods presented. Actual results could differ from those estimates.</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224"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The Company determines at the inception of each arrangement whether an entity in which the Company holds an investment or in which the Company has other variable interests is considered a variable interest entity (“VIE”). The Company consolidates VIEs when it is the primary beneficiary. The primary beneficiary of a VIE is the party that meets both of the following criteria:</w:t>
      </w:r>
    </w:p>
    <w:p>
      <w:pPr>
        <w:spacing w:after="0" w:line="2" w:lineRule="exact"/>
        <w:rPr>
          <w:sz w:val="20"/>
          <w:szCs w:val="20"/>
          <w:color w:val="auto"/>
        </w:rPr>
      </w:pPr>
    </w:p>
    <w:p>
      <w:pPr>
        <w:jc w:val="both"/>
        <w:ind w:left="40" w:right="679" w:firstLine="8"/>
        <w:spacing w:after="0" w:line="272" w:lineRule="auto"/>
        <w:tabs>
          <w:tab w:leader="none" w:pos="28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the power to make decisions that most significantly affect the economic performance of the VIE and (2) has the obligation to absorb losses or the right to receive benefits that in either case could potentially be significant to the VIE.</w:t>
      </w:r>
    </w:p>
    <w:p>
      <w:pPr>
        <w:spacing w:after="0" w:line="165"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In 2014, the Company agreed to establish Terrestrial Energy USA, Inc. (“TEUSA”), a Delaware corporation, which was initially majority owned by SWH Capital LLC (“SWH”), an entity owned and controlled by the Chief Executive Officer of the Company, with the minority interest owned by the Company. TEUSA’s purpose was to be an independent entity to commercialize IMSR technology for U.S. market deployment with the support of the U.S. Federal and State governments. The Company and TEUSA had several officers and directors in common. Under mutual licensing agreements between the companies, the Company would receive revenue royalties in the event that the technology was successfully commercialized in the U.S. The Company concluded that the TEUSA was a Variable Interest Entity as defined by ASC 810.</w:t>
      </w:r>
    </w:p>
    <w:p>
      <w:pPr>
        <w:spacing w:after="0" w:line="177"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7"/>
          <w:szCs w:val="17"/>
          <w:color w:val="auto"/>
        </w:rPr>
        <w:t>On December 23, 2024, the Company entered into an agreement and plan of merger providing for the merger of TEUSA (the “TEUSA Merger”) into a wholly owned subsidiary of the Company. Immediately prior to the TEUSA Merger, TEUSA was 70.1% owned by SWH and 29.9% owned by the Company. The effect of the TEUSA Merger is that the Company owns 100% of TEUSA as of December 23, 2024. In accordance with ASC 810, as the Company maintained controlling financial interest, the acquisition of the noncontrolling interest was accounted for as an equity transaction, consistent with ASC 810-10-45-23.</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Foreign Currency</w:t>
      </w:r>
    </w:p>
    <w:p>
      <w:pPr>
        <w:spacing w:after="0" w:line="21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7"/>
          <w:szCs w:val="17"/>
          <w:color w:val="auto"/>
        </w:rPr>
        <w:t xml:space="preserve">The Company’s reporting currency is the United States dollar (“USD”). The functional currency of each subsidiary is determined by the currency of the primary economic environment in which the entity operates. The functional currency of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fiscal year.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equity in “Accumulated other comprehensive income (loss)”. Gains or losses resulting from transactions denominated in foreign currencies and intercompany debt that is not of a long-term investment nature are included in foreign exchange gain (loss) in the consolidated statements of operations and comprehensive loss.</w:t>
      </w: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Liquidity and Going Concern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Historically, the Company’s primary sources of liquidity have been cash flows from private fundraising offerings from related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parties or other investors and other financing activities to fund operations. For the years ended December 31, 2025 and 2024, the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Company reported operating losses of $25.2 and $10.4 million, respectively, and negative cash flows from operations of $16.5</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and $8.2 million, respectively. As of December 31, 2025, the Company had $97.2 million in cash and cash equivalents and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$200.6 million in short-term investments. The Company had net working capital of $293.6 million and an accumulated deficit</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of $124.6 million.</w:t>
      </w:r>
    </w:p>
    <w:p>
      <w:pPr>
        <w:spacing w:after="0" w:line="19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The Company commenced trading on Nasdaq on October 29, 2025, after completing the business combination with HCM II on October 28, 2025. As outlined further below, after completing the transaction the Company received in excess of $292 million in gross proceeds before expenses, which included $50 million common stock private investment (“PIPE”) and approximately $242 million from HCM II’s trust account following redemptions of less than 1%. Based on this financing, the Company believes that it has sufficient liquidity to support operations for at least the next twelve months following the date of issuance of the consolidated financial statements. This projection is based on the Company’s current expectations regarding future sales, cost structure, cash burn rate and other operating assumptions.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Cash, Cash Equivalents and Short-Term Investments</w:t>
      </w:r>
    </w:p>
    <w:p>
      <w:pPr>
        <w:spacing w:after="0" w:line="172" w:lineRule="exact"/>
        <w:rPr>
          <w:sz w:val="20"/>
          <w:szCs w:val="20"/>
          <w:color w:val="auto"/>
        </w:rPr>
      </w:pPr>
    </w:p>
    <w:p>
      <w:pPr>
        <w:ind w:left="40" w:right="239"/>
        <w:spacing w:after="0" w:line="275" w:lineRule="auto"/>
        <w:rPr>
          <w:sz w:val="20"/>
          <w:szCs w:val="20"/>
          <w:color w:val="auto"/>
        </w:rPr>
      </w:pPr>
      <w:r>
        <w:rPr>
          <w:rFonts w:ascii="Times New Roman" w:cs="Times New Roman" w:eastAsia="Times New Roman" w:hAnsi="Times New Roman"/>
          <w:sz w:val="17"/>
          <w:szCs w:val="17"/>
          <w:color w:val="auto"/>
        </w:rPr>
        <w:t>Cash equivalents represent short-term, highly liquid investments, which are readily convertible to cash and have maturities of 90 days or less at time of purchase. The Company’s cash and cash equivalents are held with major financial institutions and earn interest at the prevailing rate for business operating accounts.</w:t>
      </w:r>
    </w:p>
    <w:p>
      <w:pPr>
        <w:spacing w:after="0" w:line="111"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7"/>
          <w:szCs w:val="17"/>
          <w:color w:val="auto"/>
        </w:rPr>
        <w:t>Short-term investments consist of marketable securities with original maturities greater than three months but less than one year at the time of purchase. These investments may include U.S Treasury securities, government agency securities, commercial paper, and other highly rated debt instruments. Short-term investments are subject to a periodic impairment review. If the Company does not intend to sell and it is not more likely than not that it will be required to sell the investment prior to recovery of its amortized cost basis, it will determine whether a decline in fair value below the amortized cost basis is due to credit-related factors. The credit loss is measured as the amount by which the investment’s amortized cost basis exceeds the estimate of the present value of cash flows expected to be collected, up to the difference between the amortized cost basis and the fair value. Impairment is assessed at the individual investment level. Credit-related impairment is recognized as an allowance in the consolidated balance sheets with a corresponding adjustment to interest and dividend income, in the consolidated statements of operations and comprehensive loss. Any impairment that is not credit-related is recognized in accumulated other comprehensive income in the consolidated balance sheets.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Company’s short-term investments have been classified and accounted for as available-for-sale. The cost of short-term investments is adjusted for accretion of premiums and amortization of discounts to maturity. Such accretion and amortization, as well as interest and dividends, are included in interest and dividend income. The cost of investments sold is determined using the specific identification method. Unrealized gains and losses on short-term investments classified as available-for-sale are recognized in other comprehensive income on the consolidated statements of comprehensive loss.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Property and Equipment, Net</w:t>
      </w:r>
    </w:p>
    <w:p>
      <w:pPr>
        <w:spacing w:after="0" w:line="224" w:lineRule="exact"/>
        <w:rPr>
          <w:sz w:val="20"/>
          <w:szCs w:val="20"/>
          <w:color w:val="auto"/>
        </w:rPr>
      </w:pPr>
    </w:p>
    <w:p>
      <w:pPr>
        <w:ind w:left="40" w:right="119"/>
        <w:spacing w:after="0" w:line="295" w:lineRule="auto"/>
        <w:rPr>
          <w:sz w:val="20"/>
          <w:szCs w:val="20"/>
          <w:color w:val="auto"/>
        </w:rPr>
      </w:pPr>
      <w:r>
        <w:rPr>
          <w:rFonts w:ascii="Times New Roman" w:cs="Times New Roman" w:eastAsia="Times New Roman" w:hAnsi="Times New Roman"/>
          <w:sz w:val="17"/>
          <w:szCs w:val="17"/>
          <w:color w:val="auto"/>
        </w:rPr>
        <w:t>Property and equipment is stated at cost or deemed at cost less accumulated amortization. Property and equipment is amortized monthly over its useful life on a straight-line basis at the following rates: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 years</w:t>
            </w: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3 years</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2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172" w:lineRule="exact"/>
        <w:rPr>
          <w:sz w:val="20"/>
          <w:szCs w:val="20"/>
          <w:color w:val="auto"/>
        </w:rPr>
      </w:pPr>
    </w:p>
    <w:p>
      <w:pPr>
        <w:ind w:left="40" w:right="339"/>
        <w:spacing w:after="0" w:line="295"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their useful life or remaining lease term. Expenditures for repairs and maintenance, which do not improve or extend the life of the assets, are expensed as incurred.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Concentration of Credit Risks</w:t>
      </w:r>
    </w:p>
    <w:p>
      <w:pPr>
        <w:spacing w:after="0" w:line="224" w:lineRule="exact"/>
        <w:rPr>
          <w:sz w:val="20"/>
          <w:szCs w:val="20"/>
          <w:color w:val="auto"/>
        </w:rPr>
      </w:pPr>
    </w:p>
    <w:p>
      <w:pPr>
        <w:ind w:left="40" w:right="479"/>
        <w:spacing w:after="0" w:line="295" w:lineRule="auto"/>
        <w:rPr>
          <w:sz w:val="20"/>
          <w:szCs w:val="20"/>
          <w:color w:val="auto"/>
        </w:rPr>
      </w:pPr>
      <w:r>
        <w:rPr>
          <w:rFonts w:ascii="Times New Roman" w:cs="Times New Roman" w:eastAsia="Times New Roman" w:hAnsi="Times New Roman"/>
          <w:sz w:val="17"/>
          <w:szCs w:val="17"/>
          <w:color w:val="auto"/>
        </w:rPr>
        <w:t>The Company’s cash accounts in a financial institution may at times exceed the Federal Depository Insurance coverage of $250,000. No losses have been incurred to date on any deposit balance.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24" w:lineRule="exact"/>
        <w:rPr>
          <w:sz w:val="20"/>
          <w:szCs w:val="20"/>
          <w:color w:val="auto"/>
        </w:rPr>
      </w:pPr>
    </w:p>
    <w:p>
      <w:pPr>
        <w:ind w:left="40" w:right="219"/>
        <w:spacing w:after="0" w:line="266" w:lineRule="auto"/>
        <w:rPr>
          <w:sz w:val="20"/>
          <w:szCs w:val="20"/>
          <w:color w:val="auto"/>
        </w:rPr>
      </w:pPr>
      <w:r>
        <w:rPr>
          <w:rFonts w:ascii="Times New Roman" w:cs="Times New Roman" w:eastAsia="Times New Roman" w:hAnsi="Times New Roman"/>
          <w:sz w:val="17"/>
          <w:szCs w:val="17"/>
          <w:color w:val="auto"/>
        </w:rPr>
        <w:t>Intangible assets consist of intellectual property rights and patents and trademarks related to the IMSR technology. Intangible assets acquired separately are measured on initial recognition at cost. Internally generated intangible assets are initially recognized if they meet certain recognition criteria. Development expenditures not satisfying the above criteria, and expenditure on the research phase of internal projects, are expensed as incurred and are included in research and development costs in the consolidated statement of operations and comprehensive loss.</w:t>
      </w:r>
    </w:p>
    <w:p>
      <w:pPr>
        <w:spacing w:after="0" w:line="170" w:lineRule="exact"/>
        <w:rPr>
          <w:sz w:val="20"/>
          <w:szCs w:val="20"/>
          <w:color w:val="auto"/>
        </w:rPr>
      </w:pPr>
    </w:p>
    <w:p>
      <w:pPr>
        <w:ind w:left="40" w:right="199"/>
        <w:spacing w:after="0" w:line="269" w:lineRule="auto"/>
        <w:rPr>
          <w:sz w:val="20"/>
          <w:szCs w:val="20"/>
          <w:color w:val="auto"/>
        </w:rPr>
      </w:pPr>
      <w:r>
        <w:rPr>
          <w:rFonts w:ascii="Times New Roman" w:cs="Times New Roman" w:eastAsia="Times New Roman" w:hAnsi="Times New Roman"/>
          <w:sz w:val="17"/>
          <w:szCs w:val="17"/>
          <w:color w:val="auto"/>
        </w:rPr>
        <w:t>The Company amortizes intangible assets with finite lives over their estimated useful lives of 20 years using a straight-line amortization method, which the Company believes is the best estimate to reflect the pattern in which the economic benefits of the intangible assets are consumed or otherwise realized and reviews them for impairment whenever an impairment indicator exists.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224" w:lineRule="exact"/>
        <w:rPr>
          <w:sz w:val="20"/>
          <w:szCs w:val="20"/>
          <w:color w:val="auto"/>
        </w:rPr>
      </w:pPr>
    </w:p>
    <w:p>
      <w:pPr>
        <w:ind w:left="40" w:right="159"/>
        <w:spacing w:after="0" w:line="264" w:lineRule="auto"/>
        <w:rPr>
          <w:sz w:val="20"/>
          <w:szCs w:val="20"/>
          <w:color w:val="auto"/>
        </w:rPr>
      </w:pPr>
      <w:r>
        <w:rPr>
          <w:rFonts w:ascii="Times New Roman" w:cs="Times New Roman" w:eastAsia="Times New Roman" w:hAnsi="Times New Roman"/>
          <w:sz w:val="17"/>
          <w:szCs w:val="17"/>
          <w:color w:val="auto"/>
        </w:rPr>
        <w:t>Management reviews each asset or asset group for impairment whenever events or circumstances indicate that the carrying value of an asset or asset group may not be recoverable. The Company measures the recoverability of the assets by comparing the carrying amount of such asset or asset group to the future undiscounted cash flows it expects the asset or asset group to generate. If the Company considers the asset or asset group to be impaired, the impairment to be recognized equals the amount by which the carrying value of the asset or asset group exceeds its fair value. No impairment losses were recorded by the Company during the years ended December 31, 2025 and 2024.</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24"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7"/>
          <w:szCs w:val="17"/>
          <w:color w:val="auto"/>
        </w:rPr>
        <w:t>The Company determines revenue recognition through the following steps: a) identification of the contract with a customer, b) identification of the performance obligations in the contract, c) determination of the transaction price, d) allocation of the transaction price to the performance obligations in the contract and e) recognition of revenue when the Company satisfies a performance obligation.</w:t>
      </w:r>
    </w:p>
    <w:p>
      <w:pPr>
        <w:spacing w:after="0" w:line="168"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7"/>
          <w:szCs w:val="17"/>
          <w:color w:val="auto"/>
        </w:rPr>
        <w:t>The Company carries out engineering services for customers with revenue recognized typically on an over time basis. The Company’s contracts with the customer are to provide a significant service of integrating a complex set of tasks and components into a single deliverable. Consequently, the entire contract is accounted for as one performance obligation. The Company recognizes revenue from engineering services over time using an input method as performance obligations have no alternative use for the Company and the contracts would require payment to be received for the time and effort spent by the Company on progressing the contracts in the event of the customer cancelling the contract prior to completion for any reason other than the Company’s failure to perform its obligations under the contract. Specifically, labor hours incurred are used to measure progress towards complete satisfaction of the service. This is considered a faithful depiction of the transfer of services as the contracts are initially priced on the basis of anticipated hours to complete the projects and, therefore, also represents the amount to which the Company would be entitled based on its performance to date.</w:t>
      </w:r>
    </w:p>
    <w:p>
      <w:pPr>
        <w:spacing w:after="0" w:line="180" w:lineRule="exact"/>
        <w:rPr>
          <w:sz w:val="20"/>
          <w:szCs w:val="20"/>
          <w:color w:val="auto"/>
        </w:rPr>
      </w:pPr>
    </w:p>
    <w:p>
      <w:pPr>
        <w:jc w:val="both"/>
        <w:ind w:left="40" w:right="259"/>
        <w:spacing w:after="0" w:line="275" w:lineRule="auto"/>
        <w:rPr>
          <w:sz w:val="20"/>
          <w:szCs w:val="20"/>
          <w:color w:val="auto"/>
        </w:rPr>
      </w:pPr>
      <w:r>
        <w:rPr>
          <w:rFonts w:ascii="Times New Roman" w:cs="Times New Roman" w:eastAsia="Times New Roman" w:hAnsi="Times New Roman"/>
          <w:sz w:val="17"/>
          <w:szCs w:val="17"/>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3" w:lineRule="exact"/>
        <w:rPr>
          <w:sz w:val="20"/>
          <w:szCs w:val="20"/>
          <w:color w:val="auto"/>
        </w:rPr>
      </w:pPr>
    </w:p>
    <w:p>
      <w:pPr>
        <w:ind w:left="40" w:right="279"/>
        <w:spacing w:after="0" w:line="275" w:lineRule="auto"/>
        <w:rPr>
          <w:sz w:val="20"/>
          <w:szCs w:val="20"/>
          <w:color w:val="auto"/>
        </w:rPr>
      </w:pPr>
      <w:r>
        <w:rPr>
          <w:rFonts w:ascii="Times New Roman" w:cs="Times New Roman" w:eastAsia="Times New Roman" w:hAnsi="Times New Roman"/>
          <w:sz w:val="17"/>
          <w:szCs w:val="17"/>
          <w:color w:val="auto"/>
        </w:rPr>
        <w:t>The Company intends to disaggregate revenue into categories to provide useful information to the users of the consolidated financial statements about the nature, amount, timing, and uncertainty of revenue and cash flows as the Company’s customer base expands.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224" w:lineRule="exact"/>
        <w:rPr>
          <w:sz w:val="20"/>
          <w:szCs w:val="20"/>
          <w:color w:val="auto"/>
        </w:rPr>
      </w:pPr>
    </w:p>
    <w:p>
      <w:pPr>
        <w:ind w:left="40" w:right="719"/>
        <w:spacing w:after="0" w:line="295" w:lineRule="auto"/>
        <w:rPr>
          <w:sz w:val="20"/>
          <w:szCs w:val="20"/>
          <w:color w:val="auto"/>
        </w:rPr>
      </w:pPr>
      <w:r>
        <w:rPr>
          <w:rFonts w:ascii="Times New Roman" w:cs="Times New Roman" w:eastAsia="Times New Roman" w:hAnsi="Times New Roman"/>
          <w:sz w:val="17"/>
          <w:szCs w:val="17"/>
          <w:color w:val="auto"/>
        </w:rPr>
        <w:t>All leases are accounted for by recognizing a right-of-use asset and a lease liability except for leases with a duration of 12 months or less.</w:t>
      </w:r>
    </w:p>
    <w:p>
      <w:pPr>
        <w:spacing w:after="0" w:line="146" w:lineRule="exact"/>
        <w:rPr>
          <w:sz w:val="20"/>
          <w:szCs w:val="20"/>
          <w:color w:val="auto"/>
        </w:rPr>
      </w:pPr>
    </w:p>
    <w:p>
      <w:pPr>
        <w:ind w:left="40" w:right="199"/>
        <w:spacing w:after="0" w:line="264" w:lineRule="auto"/>
        <w:rPr>
          <w:sz w:val="20"/>
          <w:szCs w:val="20"/>
          <w:color w:val="auto"/>
        </w:rPr>
      </w:pPr>
      <w:r>
        <w:rPr>
          <w:rFonts w:ascii="Times New Roman" w:cs="Times New Roman" w:eastAsia="Times New Roman" w:hAnsi="Times New Roman"/>
          <w:sz w:val="17"/>
          <w:szCs w:val="17"/>
          <w:color w:val="auto"/>
        </w:rPr>
        <w:t>Lease liabilities are measured at the present value of the contractual payments due to the lessor over the lease term, with the discount rate determined by reference to the rate inherent in the lease unless this is not readily determinable, in which case the Company’s incremental borrowing rate on commencement of the lease is used. Variable lease payments are only included in the measurement of the lease liability if they depend on an index or rate. In such cases, the initial measurement of the lease liability assumes the variable element will remain unchanged throughout the lease term. Other variable lease payments are expensed in the period to which they relate.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On initial recognition, the carrying value of the lease liability also includes:</w:t>
      </w:r>
    </w:p>
    <w:p>
      <w:pPr>
        <w:spacing w:after="0" w:line="183" w:lineRule="exact"/>
        <w:rPr>
          <w:sz w:val="20"/>
          <w:szCs w:val="20"/>
          <w:color w:val="auto"/>
        </w:rPr>
      </w:pPr>
    </w:p>
    <w:p>
      <w:pPr>
        <w:ind w:left="700" w:hanging="313"/>
        <w:spacing w:after="0"/>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under any residual value guarantee;</w:t>
      </w:r>
    </w:p>
    <w:p>
      <w:pPr>
        <w:spacing w:after="0" w:line="196" w:lineRule="exact"/>
        <w:rPr>
          <w:rFonts w:ascii="Times New Roman" w:cs="Times New Roman" w:eastAsia="Times New Roman" w:hAnsi="Times New Roman"/>
          <w:sz w:val="17"/>
          <w:szCs w:val="17"/>
          <w:color w:val="auto"/>
        </w:rPr>
      </w:pPr>
    </w:p>
    <w:p>
      <w:pPr>
        <w:ind w:left="700" w:right="439" w:hanging="313"/>
        <w:spacing w:after="0" w:line="295" w:lineRule="auto"/>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any purchase option granted in favor of the Company if it is reasonably certain to assess that option;</w:t>
      </w:r>
    </w:p>
    <w:p>
      <w:pPr>
        <w:spacing w:after="0" w:line="106" w:lineRule="exact"/>
        <w:rPr>
          <w:rFonts w:ascii="Times New Roman" w:cs="Times New Roman" w:eastAsia="Times New Roman" w:hAnsi="Times New Roman"/>
          <w:sz w:val="17"/>
          <w:szCs w:val="17"/>
          <w:color w:val="auto"/>
        </w:rPr>
      </w:pPr>
    </w:p>
    <w:p>
      <w:pPr>
        <w:ind w:left="700" w:right="179" w:hanging="313"/>
        <w:spacing w:after="0" w:line="295" w:lineRule="auto"/>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penalties payable for terminating the lease, if the term of the lease has been estimated on the basis of termination option being exercised.</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439"/>
        <w:spacing w:after="0" w:line="295" w:lineRule="auto"/>
        <w:rPr>
          <w:sz w:val="20"/>
          <w:szCs w:val="20"/>
          <w:color w:val="auto"/>
        </w:rPr>
      </w:pPr>
      <w:r>
        <w:rPr>
          <w:rFonts w:ascii="Times New Roman" w:cs="Times New Roman" w:eastAsia="Times New Roman" w:hAnsi="Times New Roman"/>
          <w:sz w:val="17"/>
          <w:szCs w:val="17"/>
          <w:color w:val="auto"/>
        </w:rPr>
        <w:t>Right of use assets are initially measured at the amount of the lease liability, reduced for any lease incentives received, and increased for:</w:t>
      </w:r>
    </w:p>
    <w:p>
      <w:pPr>
        <w:spacing w:after="0" w:line="94" w:lineRule="exact"/>
        <w:rPr>
          <w:sz w:val="20"/>
          <w:szCs w:val="20"/>
          <w:color w:val="auto"/>
        </w:rPr>
      </w:pPr>
    </w:p>
    <w:p>
      <w:pPr>
        <w:ind w:left="700" w:hanging="313"/>
        <w:spacing w:after="0"/>
        <w:tabs>
          <w:tab w:leader="none" w:pos="7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payments made at or before commencement of the lease;</w:t>
      </w:r>
    </w:p>
    <w:p>
      <w:pPr>
        <w:spacing w:after="0" w:line="183"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direct costs incurred; and</w:t>
      </w:r>
    </w:p>
    <w:p>
      <w:pPr>
        <w:spacing w:after="0" w:line="183" w:lineRule="exact"/>
        <w:rPr>
          <w:rFonts w:ascii="Times New Roman" w:cs="Times New Roman" w:eastAsia="Times New Roman" w:hAnsi="Times New Roman"/>
          <w:sz w:val="17"/>
          <w:szCs w:val="17"/>
          <w:color w:val="auto"/>
        </w:rPr>
      </w:pPr>
    </w:p>
    <w:p>
      <w:pPr>
        <w:ind w:left="700" w:right="159" w:hanging="313"/>
        <w:spacing w:after="0" w:line="295" w:lineRule="auto"/>
        <w:tabs>
          <w:tab w:leader="none" w:pos="7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provision recognized where the Company is contractually required to dismantle, remove or restore the leased asset.</w:t>
      </w:r>
    </w:p>
    <w:p>
      <w:pPr>
        <w:spacing w:after="0" w:line="94" w:lineRule="exact"/>
        <w:rPr>
          <w:sz w:val="20"/>
          <w:szCs w:val="20"/>
          <w:color w:val="auto"/>
        </w:rPr>
      </w:pPr>
    </w:p>
    <w:p>
      <w:pPr>
        <w:jc w:val="both"/>
        <w:ind w:left="40" w:right="539"/>
        <w:spacing w:after="0" w:line="275" w:lineRule="auto"/>
        <w:rPr>
          <w:sz w:val="20"/>
          <w:szCs w:val="20"/>
          <w:color w:val="auto"/>
        </w:rPr>
      </w:pPr>
      <w:r>
        <w:rPr>
          <w:rFonts w:ascii="Times New Roman" w:cs="Times New Roman" w:eastAsia="Times New Roman" w:hAnsi="Times New Roman"/>
          <w:sz w:val="17"/>
          <w:szCs w:val="17"/>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24"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7"/>
          <w:szCs w:val="17"/>
          <w:color w:val="auto"/>
        </w:rPr>
        <w:t>When the Company revises its estimate of the term of any lease, it adjusts the carrying amount of the lease liability to reflect the payments to make over the revised term, which are discounted using a revised discount rate. The carrying value of lease liabilities is similarly revised when the variable element of future lease payments dependent on a rate or index is revised, except the discount rate remains unchanged. In both cases, an equivalent adjustment is made to the carrying value of the right-of-use asset, with the revised carrying amount being amortized over the remaining (revised) lease term. If the carrying amount of the right-of-use asset is adjusted to zero, any further reduction is recognized in profit or loss.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Fair Value Measurements</w:t>
      </w:r>
    </w:p>
    <w:p>
      <w:pPr>
        <w:spacing w:after="0" w:line="172"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p>
      <w:pPr>
        <w:spacing w:after="0" w:line="140" w:lineRule="exact"/>
        <w:rPr>
          <w:sz w:val="20"/>
          <w:szCs w:val="20"/>
          <w:color w:val="auto"/>
        </w:rPr>
      </w:pPr>
    </w:p>
    <w:p>
      <w:pPr>
        <w:ind w:left="1020" w:hanging="320"/>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in active markets for identical assets or liabilities.</w:t>
      </w:r>
    </w:p>
    <w:p>
      <w:pPr>
        <w:spacing w:after="0" w:line="183" w:lineRule="exact"/>
        <w:rPr>
          <w:rFonts w:ascii="Times New Roman" w:cs="Times New Roman" w:eastAsia="Times New Roman" w:hAnsi="Times New Roman"/>
          <w:sz w:val="17"/>
          <w:szCs w:val="17"/>
          <w:color w:val="auto"/>
        </w:rPr>
      </w:pPr>
    </w:p>
    <w:p>
      <w:pPr>
        <w:ind w:left="1020" w:right="179" w:hanging="320"/>
        <w:spacing w:after="0" w:line="275"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11" w:lineRule="exact"/>
        <w:rPr>
          <w:rFonts w:ascii="Times New Roman" w:cs="Times New Roman" w:eastAsia="Times New Roman" w:hAnsi="Times New Roman"/>
          <w:sz w:val="17"/>
          <w:szCs w:val="17"/>
          <w:color w:val="auto"/>
        </w:rPr>
      </w:pPr>
    </w:p>
    <w:p>
      <w:pPr>
        <w:ind w:left="1020" w:hanging="320"/>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for the asset or liability.</w:t>
      </w:r>
    </w:p>
    <w:p>
      <w:pPr>
        <w:spacing w:after="0" w:line="183" w:lineRule="exact"/>
        <w:rPr>
          <w:sz w:val="20"/>
          <w:szCs w:val="20"/>
          <w:color w:val="auto"/>
        </w:rPr>
      </w:pPr>
    </w:p>
    <w:p>
      <w:pPr>
        <w:ind w:left="40" w:right="239"/>
        <w:spacing w:after="0" w:line="275" w:lineRule="auto"/>
        <w:rPr>
          <w:sz w:val="20"/>
          <w:szCs w:val="20"/>
          <w:color w:val="auto"/>
        </w:rPr>
      </w:pPr>
      <w:r>
        <w:rPr>
          <w:rFonts w:ascii="Times New Roman" w:cs="Times New Roman" w:eastAsia="Times New Roman" w:hAnsi="Times New Roman"/>
          <w:sz w:val="17"/>
          <w:szCs w:val="17"/>
          <w:color w:val="auto"/>
        </w:rPr>
        <w:t>The carrying amounts of certain financial instruments, such as cash equivalents, prepaid expenses and other current assets, accounts payable and accrued expenses, approximate fair value due to their relatively short maturities. The Company’s short-term investments are classified as Level 1 (as described in Note 7).</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Convertible Notes</w:t>
      </w:r>
    </w:p>
    <w:p>
      <w:pPr>
        <w:spacing w:after="0" w:line="172"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The Company may enter into convertible notes, certain of which contain, predominantly, fixed rate conversion features, whereby the outstanding principal and accrued interest may be converted by the holder, into common shares at a fixed discount to the market price of the common stock at the time of conversion. The Company’s convertible notes outstanding represent a financial instrument other than an outstanding share that embodies a conditional obligation that the issuer must or may settle by issuing a variable number of its equity shares. The Company records the convertible note liability at its fixed monetary amount by measuring and recording a premium, as applicable, on the convertible notes date in accordance with ASC Topic 480, Distinguishing Liabilities from Equity (“ASC 480”).</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4" w:lineRule="exact"/>
        <w:rPr>
          <w:sz w:val="20"/>
          <w:szCs w:val="20"/>
          <w:color w:val="auto"/>
        </w:rPr>
      </w:pPr>
    </w:p>
    <w:p>
      <w:pPr>
        <w:ind w:left="40" w:right="179"/>
        <w:spacing w:after="0" w:line="275" w:lineRule="auto"/>
        <w:rPr>
          <w:sz w:val="20"/>
          <w:szCs w:val="20"/>
          <w:color w:val="auto"/>
        </w:rPr>
      </w:pPr>
      <w:r>
        <w:rPr>
          <w:rFonts w:ascii="Times New Roman" w:cs="Times New Roman" w:eastAsia="Times New Roman" w:hAnsi="Times New Roman"/>
          <w:sz w:val="17"/>
          <w:szCs w:val="17"/>
          <w:color w:val="auto"/>
        </w:rPr>
        <w:t>The Company reviews the terms of warrants to purchase its common stock to determine whether warrants should be classified as liabilities or stockholders’ deficit in its consolidated balance sheets. In order for a warrant to be classified in stockholders’ deficit, the warrant must be (i) indexed to the Company’s equity and (ii) meet the conditions for equity classification.</w:t>
      </w:r>
    </w:p>
    <w:p>
      <w:pPr>
        <w:spacing w:after="0" w:line="163"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If a warrant does not meet the conditions for stockholders’ deficit classification, it is carried on the consolidated balance sheets as a warrant liability measured at fair value, with subsequent changes in the fair value of the warrant recorded in other income (expense) in the consolidated statements of operations and comprehensive loss. If a warrant meets both conditions for equity classification, the warrant is initially recorded, at its relative fair value on the date of issuance, in stockholders’ deficit in the consolidated balance sheets, and the amount initially recorded is not subsequently remeasured at fair value.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4"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in the years in which those temporary differences are expected to be recovered or settles. The effect on deferred tax assets and liabilities of a change in tax rates is recognized in income in the period that includes the enactment date. In addition, a valuation allowance is established to reduce any deferred tax asset for which it is determined that is it more likely than not that some portion of the deferred tax asset will not be realized.</w:t>
      </w:r>
    </w:p>
    <w:p>
      <w:pPr>
        <w:spacing w:after="0" w:line="177"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7"/>
          <w:szCs w:val="17"/>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the Company does not recognize any portion of that benefit in the financial statements.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185"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granted to employees in accordance with ASC 718, “Compensation: Stock Compensation”, by measuring the grant date fair value of the award and recognizing the resulting expense over the period during which the employee is required to perform service in exchange for the award. Equity-based compensation expense is only recognized for awards subject to performance conditions if it is probable that the performance condition will be achieved. The Company accounts for forfeitures when they occur.</w:t>
      </w:r>
    </w:p>
    <w:p>
      <w:pPr>
        <w:spacing w:after="0" w:line="131"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7"/>
          <w:szCs w:val="17"/>
          <w:color w:val="auto"/>
        </w:rPr>
        <w:t>The Company uses the Black-Scholes option pricing model to determine the grant date fair value of its stock options granted.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139"/>
        <w:spacing w:after="0" w:line="269" w:lineRule="auto"/>
        <w:rPr>
          <w:sz w:val="20"/>
          <w:szCs w:val="20"/>
          <w:color w:val="auto"/>
        </w:rPr>
      </w:pPr>
      <w:r>
        <w:rPr>
          <w:rFonts w:ascii="Times New Roman" w:cs="Times New Roman" w:eastAsia="Times New Roman" w:hAnsi="Times New Roman"/>
          <w:sz w:val="17"/>
          <w:szCs w:val="17"/>
          <w:color w:val="auto"/>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spacing w:after="0" w:line="129"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spacing w:after="0" w:line="131"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7"/>
          <w:szCs w:val="17"/>
          <w:color w:val="auto"/>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Advertising</w:t>
      </w:r>
    </w:p>
    <w:p>
      <w:pPr>
        <w:spacing w:after="0" w:line="185" w:lineRule="exact"/>
        <w:rPr>
          <w:sz w:val="20"/>
          <w:szCs w:val="20"/>
          <w:color w:val="auto"/>
        </w:rPr>
      </w:pPr>
    </w:p>
    <w:p>
      <w:pPr>
        <w:ind w:left="40" w:right="119"/>
        <w:spacing w:after="0" w:line="275" w:lineRule="auto"/>
        <w:rPr>
          <w:sz w:val="20"/>
          <w:szCs w:val="20"/>
          <w:color w:val="auto"/>
        </w:rPr>
      </w:pPr>
      <w:r>
        <w:rPr>
          <w:rFonts w:ascii="Times New Roman" w:cs="Times New Roman" w:eastAsia="Times New Roman" w:hAnsi="Times New Roman"/>
          <w:sz w:val="17"/>
          <w:szCs w:val="17"/>
          <w:color w:val="auto"/>
        </w:rPr>
        <w:t>Advertising costs are expensed as incurred and are recognized as a component of general and administrative expenses on the consolidated statement of operations and comprehensive loss. Advertising costs expensed were approximately $0.1 million and $0.2 million for the years ended December 31, 2025 and 2024, respectively.</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Government Grants</w:t>
      </w:r>
    </w:p>
    <w:p>
      <w:pPr>
        <w:spacing w:after="0" w:line="198"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color w:val="auto"/>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85" w:lineRule="exact"/>
        <w:rPr>
          <w:sz w:val="20"/>
          <w:szCs w:val="20"/>
          <w:color w:val="auto"/>
        </w:rPr>
      </w:pPr>
    </w:p>
    <w:p>
      <w:pPr>
        <w:ind w:left="40" w:right="239"/>
        <w:spacing w:after="0" w:line="295"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for designing and engineering products, including the costs of developing design tools. All research and development costs related to product development are expensed as incurred.</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Research and Development Tax Credits</w:t>
      </w:r>
    </w:p>
    <w:p>
      <w:pPr>
        <w:spacing w:after="0" w:line="185"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The Company claims investment tax credits as a result of incurring scientific research and experimental development expenditures. Investment tax credits are recognized when the related expenditures are incurred, and there is reasonable assurance of their realization. Management has made a number of estimates and assumptions in determining the expenditures eligible for the investment tax credit claim. The Company’s claim is subject to audit by Canada Revenue Agency who may disallow all or a portion of the amount recorded. For the years ended December 31, 2025 and 2024, the Company earned $0.0 million and $0.2 million of research and development tax credits.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Net Loss Per Share</w:t>
      </w:r>
    </w:p>
    <w:p>
      <w:pPr>
        <w:spacing w:after="0" w:line="185"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79"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Segment reporting</w:t>
      </w:r>
    </w:p>
    <w:p>
      <w:pPr>
        <w:spacing w:after="0" w:line="224" w:lineRule="exact"/>
        <w:rPr>
          <w:sz w:val="20"/>
          <w:szCs w:val="20"/>
          <w:color w:val="auto"/>
        </w:rPr>
      </w:pPr>
    </w:p>
    <w:p>
      <w:pPr>
        <w:ind w:left="40" w:right="79"/>
        <w:spacing w:after="0" w:line="275" w:lineRule="auto"/>
        <w:rPr>
          <w:sz w:val="20"/>
          <w:szCs w:val="20"/>
          <w:color w:val="auto"/>
        </w:rPr>
      </w:pPr>
      <w:r>
        <w:rPr>
          <w:rFonts w:ascii="Times New Roman" w:cs="Times New Roman" w:eastAsia="Times New Roman" w:hAnsi="Times New Roman"/>
          <w:sz w:val="17"/>
          <w:szCs w:val="17"/>
          <w:color w:val="auto"/>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224"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color w:val="auto"/>
        </w:rPr>
        <w:t>In December 2023, the FASB issued ASU No. 2023-09 (Topic 740), Improvements to Income Tax Disclosures, which enhances the transparency and decision usefulness of income tax disclosures. The amendments in ASU 2023-09 are effective for annual periods beginning after December 15, 2024. The Company has adopted this guidance on a retrospective basis, which did not have an impact on its financial position, results of operations, or cash flows, although it did result in expanded disclosures which are included in Note 16 of the consolidated financial statements.</w:t>
      </w:r>
    </w:p>
    <w:p>
      <w:pPr>
        <w:spacing w:after="0" w:line="170"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Issued in November 2024, ASU 2024-03, Disaggregation of Income Statement Expenses (Subtopic 220-40),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The Company is currently evaluating the impact this ASU will have on its consolidated financial statements and related disclosures.</w:t>
      </w:r>
    </w:p>
    <w:p>
      <w:pPr>
        <w:spacing w:after="0" w:line="179" w:lineRule="exact"/>
        <w:rPr>
          <w:sz w:val="20"/>
          <w:szCs w:val="20"/>
          <w:color w:val="auto"/>
        </w:rPr>
      </w:pPr>
    </w:p>
    <w:p>
      <w:pPr>
        <w:ind w:left="40" w:right="299"/>
        <w:spacing w:after="0" w:line="264" w:lineRule="auto"/>
        <w:rPr>
          <w:sz w:val="20"/>
          <w:szCs w:val="20"/>
          <w:color w:val="auto"/>
        </w:rPr>
      </w:pPr>
      <w:r>
        <w:rPr>
          <w:rFonts w:ascii="Times New Roman" w:cs="Times New Roman" w:eastAsia="Times New Roman" w:hAnsi="Times New Roman"/>
          <w:sz w:val="17"/>
          <w:szCs w:val="17"/>
          <w:color w:val="auto"/>
        </w:rPr>
        <w:t>In March 2025, the FASB issued ASU No. 2025-03 (Topics 805 and 810), Determining the Accounting Acquirer in the Acquisition of a Variable Interest Entity. The ASU modifies the guidance for identifying the accounting acquirer in business combinations involving a variable interest entity (VIE) by requiring entities to evaluate the existing business combination indicators when the VIE is a business and equity interests are exchanged. The ASU is effective on a prospective basis for annual reporting periods beginning after December 15, 2026. The Company is currently evaluating the impact this ASU will have on its consolidated financial statements and related disclosures.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179"/>
        <w:spacing w:after="0" w:line="260"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 — Credit Losses (Topic 326): Measurement of Credit Losses for Accounts Receivable and Contract Assets. The ASU introduces a practical expedient that allows entities to assume current economic conditions remain unchanged over the life of an asset when estimating expected credit losses for current accounts receivable and current contract assets arising from transactions under ASC 606, Revenue from Contracts with Customers. The guidance is effective for annual periods beginning after December 15, 2025, and interim periods within those annual periods. Early adoption is permitted. The amendments are applied prospectively to eligible assets existing on or arising after the date of adoption. The Company does not currently have accounts receivable or contract assets arising from ASC 606 transactions. Accordingly, the adoption of ASU 2025-05 is not expected to have a material impact on the Company’s financial position, results of operations, or cash flows. The Company will continue to monitor future activity and evaluate the applicability of this guidance if accounts receivable or contract assets arise in future periods.</w:t>
      </w:r>
    </w:p>
    <w:p>
      <w:pPr>
        <w:spacing w:after="0" w:line="180"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7"/>
          <w:szCs w:val="17"/>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172" w:lineRule="exact"/>
        <w:rPr>
          <w:sz w:val="20"/>
          <w:szCs w:val="20"/>
          <w:color w:val="auto"/>
        </w:rPr>
      </w:pPr>
    </w:p>
    <w:p>
      <w:pPr>
        <w:ind w:left="40" w:right="179"/>
        <w:spacing w:after="0" w:line="261"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(ASU 2025-11). ASU 2025-11 is intended to improve the clarity and navigability of interim reporting guidance by (i) specifying the required form and content of interim financial statements, (ii) consolidating and organizing interim disclosure requirements across the Codification, and (iii) introducing a disclosure principle requiring entities to describe events occurring after the end of the most recent annual reporting period that have a material impact on the entity. ASU 2025-11 is effective for public business entities for fiscal years beginning after December 15, 2027, including interim periods within those fiscal years. Early adoption is permitted. The Company is currently evaluating the impact of adopting ASU 2025-11 on its consolidated financial statements and related disclosures.</w:t>
      </w:r>
    </w:p>
    <w:p>
      <w:pPr>
        <w:spacing w:after="0" w:line="179" w:lineRule="exact"/>
        <w:rPr>
          <w:sz w:val="20"/>
          <w:szCs w:val="20"/>
          <w:color w:val="auto"/>
        </w:rPr>
      </w:pPr>
    </w:p>
    <w:p>
      <w:pPr>
        <w:ind w:left="40" w:right="219"/>
        <w:spacing w:after="0" w:line="266" w:lineRule="auto"/>
        <w:rPr>
          <w:sz w:val="20"/>
          <w:szCs w:val="20"/>
          <w:color w:val="auto"/>
        </w:rPr>
      </w:pPr>
      <w:r>
        <w:rPr>
          <w:rFonts w:ascii="Times New Roman" w:cs="Times New Roman" w:eastAsia="Times New Roman" w:hAnsi="Times New Roman"/>
          <w:sz w:val="17"/>
          <w:szCs w:val="17"/>
          <w:color w:val="auto"/>
        </w:rPr>
        <w:t>In December 2025, the FASB issued ASU No. 2025-12, Codification Improvements ("ASU 2025-12"). ASU 2025-12 adds clarification, corrects errors, or makes minor improvements. ASU 2025-12 is effective for fiscal years beginning after December 15, 2026, including interim periods within those fiscal years. Early adoption is permitted as of the beginning of an annual reporting period and adoption can be applied on prospectively or retrospectively. The Company is currently evaluating the impact of ASU 2025-12 on its consolidated financial statements and disclosures.</w:t>
      </w:r>
    </w:p>
    <w:p>
      <w:pPr>
        <w:spacing w:after="0" w:line="170" w:lineRule="exact"/>
        <w:rPr>
          <w:sz w:val="20"/>
          <w:szCs w:val="20"/>
          <w:color w:val="auto"/>
        </w:rPr>
      </w:pPr>
    </w:p>
    <w:p>
      <w:pPr>
        <w:ind w:left="40" w:right="279"/>
        <w:spacing w:after="0" w:line="295" w:lineRule="auto"/>
        <w:rPr>
          <w:sz w:val="20"/>
          <w:szCs w:val="20"/>
          <w:color w:val="auto"/>
        </w:rPr>
      </w:pPr>
      <w:r>
        <w:rPr>
          <w:rFonts w:ascii="Times New Roman" w:cs="Times New Roman" w:eastAsia="Times New Roman" w:hAnsi="Times New Roman"/>
          <w:sz w:val="17"/>
          <w:szCs w:val="17"/>
          <w:color w:val="auto"/>
        </w:rPr>
        <w:t>Other than as described above, no accounting pronouncements issued or effective during the year ended December 31, 2025, has had or is expected to have a material impact on the consolidated financial statements.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Reverse Recapitalization</w:t>
      </w:r>
    </w:p>
    <w:p>
      <w:pPr>
        <w:spacing w:after="0" w:line="224"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7"/>
          <w:szCs w:val="17"/>
          <w:color w:val="auto"/>
        </w:rPr>
        <w:t>On the Closing Date, HCM II consummated the transactions set forth by the Business Combination Agreement dated March 26, 2025 with TEDI and Merger Sub. Upon closing, Merger Sub merged with and into TEDI, with TEDI surviving as a wholly owned subsidiary of the Company. The Transactions were accounted for as a reverse recapitalization in accordance with U.S. GAAP. Under this method of accounting:</w:t>
      </w:r>
    </w:p>
    <w:p>
      <w:pPr>
        <w:spacing w:after="0" w:line="168" w:lineRule="exact"/>
        <w:rPr>
          <w:sz w:val="20"/>
          <w:szCs w:val="20"/>
          <w:color w:val="auto"/>
        </w:rPr>
      </w:pPr>
    </w:p>
    <w:p>
      <w:pPr>
        <w:ind w:left="700" w:hanging="313"/>
        <w:spacing w:after="0"/>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TEDI is treated as the accounting acquirer.</w:t>
      </w:r>
    </w:p>
    <w:p>
      <w:pPr>
        <w:spacing w:after="0" w:line="31" w:lineRule="exact"/>
        <w:rPr>
          <w:rFonts w:ascii="Times New Roman" w:cs="Times New Roman" w:eastAsia="Times New Roman" w:hAnsi="Times New Roman"/>
          <w:sz w:val="17"/>
          <w:szCs w:val="17"/>
          <w:color w:val="auto"/>
        </w:rPr>
      </w:pPr>
    </w:p>
    <w:p>
      <w:pPr>
        <w:ind w:left="700" w:right="819" w:hanging="313"/>
        <w:spacing w:after="0" w:line="256" w:lineRule="auto"/>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equivalent to the issuance of shares by TEDI for the net monetary assets of the Company, accompanied by a recapitalization.</w:t>
      </w:r>
    </w:p>
    <w:p>
      <w:pPr>
        <w:ind w:left="700" w:hanging="313"/>
        <w:spacing w:after="0"/>
        <w:tabs>
          <w:tab w:leader="none" w:pos="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goodwill or other intangible assets were recorded. The net assets of the Company were recorded at historical cost.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jc w:val="both"/>
        <w:ind w:left="40" w:right="259"/>
        <w:spacing w:after="0" w:line="269" w:lineRule="auto"/>
        <w:rPr>
          <w:sz w:val="20"/>
          <w:szCs w:val="20"/>
          <w:color w:val="auto"/>
        </w:rPr>
      </w:pPr>
      <w:r>
        <w:rPr>
          <w:rFonts w:ascii="Times New Roman" w:cs="Times New Roman" w:eastAsia="Times New Roman" w:hAnsi="Times New Roman"/>
          <w:sz w:val="17"/>
          <w:szCs w:val="17"/>
          <w:color w:val="auto"/>
        </w:rPr>
        <w:t>HCM II did not meet the definition of a “business” pursuant to ASC 805-10-55, Business Combinations (“ASC 805”), and thus, for accounting purposes, the Business Combination was accounted for as a reverse recapitalization, within the scope of ASC 805. The net assets of HCM II were stated at historical cost, with no goodwill or other intangible assets recorded. There was no excess of the fair value of shares issued to HCM II over the fair value of HCM II’s identifiable net assets acquired.</w:t>
      </w:r>
    </w:p>
    <w:p>
      <w:pPr>
        <w:spacing w:after="0" w:line="168" w:lineRule="exact"/>
        <w:rPr>
          <w:sz w:val="20"/>
          <w:szCs w:val="20"/>
          <w:color w:val="auto"/>
        </w:rPr>
      </w:pPr>
    </w:p>
    <w:p>
      <w:pPr>
        <w:ind w:left="40" w:right="79"/>
        <w:spacing w:after="0" w:line="275" w:lineRule="auto"/>
        <w:rPr>
          <w:sz w:val="20"/>
          <w:szCs w:val="20"/>
          <w:color w:val="auto"/>
        </w:rPr>
      </w:pPr>
      <w:r>
        <w:rPr>
          <w:rFonts w:ascii="Times New Roman" w:cs="Times New Roman" w:eastAsia="Times New Roman" w:hAnsi="Times New Roman"/>
          <w:sz w:val="17"/>
          <w:szCs w:val="17"/>
          <w:color w:val="auto"/>
        </w:rPr>
        <w:t>Accordingly the consolidated financial statements prior to the Closing Date represent those of TEDI, while the equity structure (i.e., number and type of shares outstanding) reflects the legal capital structure of the Company after the Business Combination, retroactively adjusted to reflect the Exchange Ratio of 44.7029 as of the earliest presented period, in this case, January 1, 2024.</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Upon closing of the Business Combination:</w:t>
      </w:r>
    </w:p>
    <w:p>
      <w:pPr>
        <w:spacing w:after="0" w:line="222" w:lineRule="exact"/>
        <w:rPr>
          <w:sz w:val="20"/>
          <w:szCs w:val="20"/>
          <w:color w:val="auto"/>
        </w:rPr>
      </w:pPr>
    </w:p>
    <w:p>
      <w:pPr>
        <w:ind w:left="700" w:right="559" w:hanging="313"/>
        <w:spacing w:after="0" w:line="267" w:lineRule="auto"/>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of 48,028,812 shares of common stock were issued to TEDI securityholders, including holders of convertible notes.</w:t>
      </w:r>
    </w:p>
    <w:p>
      <w:pPr>
        <w:ind w:left="700" w:hanging="313"/>
        <w:spacing w:after="0"/>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of TEDI converted into common stock pursuant to the terms of TEDI’s governing documents.</w:t>
      </w:r>
    </w:p>
    <w:p>
      <w:pPr>
        <w:spacing w:after="0" w:line="13" w:lineRule="exact"/>
        <w:rPr>
          <w:rFonts w:ascii="Times New Roman" w:cs="Times New Roman" w:eastAsia="Times New Roman" w:hAnsi="Times New Roman"/>
          <w:sz w:val="17"/>
          <w:szCs w:val="17"/>
          <w:color w:val="auto"/>
        </w:rPr>
      </w:pPr>
    </w:p>
    <w:p>
      <w:pPr>
        <w:ind w:left="700" w:hanging="313"/>
        <w:spacing w:after="0"/>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TEDI’s convertible notes were converted into common stock in accordance with their contractual terms.</w:t>
      </w:r>
    </w:p>
    <w:p>
      <w:pPr>
        <w:spacing w:after="0" w:line="13" w:lineRule="exact"/>
        <w:rPr>
          <w:rFonts w:ascii="Times New Roman" w:cs="Times New Roman" w:eastAsia="Times New Roman" w:hAnsi="Times New Roman"/>
          <w:sz w:val="17"/>
          <w:szCs w:val="17"/>
          <w:color w:val="auto"/>
        </w:rPr>
      </w:pPr>
    </w:p>
    <w:p>
      <w:pPr>
        <w:ind w:left="700" w:right="559" w:hanging="313"/>
        <w:spacing w:after="0" w:line="256" w:lineRule="auto"/>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options, warrants, and restricted stock units of TEDI were assumed and converted into comparable awards exercisable for or settled in common stock based on the Exchange Ratio.</w:t>
      </w:r>
    </w:p>
    <w:p>
      <w:pPr>
        <w:ind w:left="700" w:right="159" w:hanging="313"/>
        <w:spacing w:after="0" w:line="272" w:lineRule="auto"/>
        <w:tabs>
          <w:tab w:leader="none" w:pos="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shareholder vote approving the Business Combination, 7,390 public shares were redeemed for approximately $77,890.</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u w:val="single" w:color="auto"/>
          <w:color w:val="auto"/>
        </w:rPr>
        <w:t>PIPE Financing</w:t>
      </w:r>
    </w:p>
    <w:p>
      <w:pPr>
        <w:spacing w:after="0" w:line="224" w:lineRule="exact"/>
        <w:rPr>
          <w:sz w:val="20"/>
          <w:szCs w:val="20"/>
          <w:color w:val="auto"/>
        </w:rPr>
      </w:pPr>
    </w:p>
    <w:p>
      <w:pPr>
        <w:ind w:left="40" w:right="119"/>
        <w:spacing w:after="0" w:line="295"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Company consummated a private placement (the “PIPE”) pursuant to which it issued 5,000,000 shares of common stock at $10.00 per share, resulting in gross proceeds of $50.0 million.</w:t>
      </w:r>
    </w:p>
    <w:p>
      <w:pPr>
        <w:spacing w:after="0" w:line="146" w:lineRule="exact"/>
        <w:rPr>
          <w:sz w:val="20"/>
          <w:szCs w:val="20"/>
          <w:color w:val="auto"/>
        </w:rPr>
      </w:pPr>
    </w:p>
    <w:p>
      <w:pPr>
        <w:ind w:left="40" w:right="259"/>
        <w:spacing w:after="0" w:line="295" w:lineRule="auto"/>
        <w:rPr>
          <w:sz w:val="20"/>
          <w:szCs w:val="20"/>
          <w:color w:val="auto"/>
        </w:rPr>
      </w:pPr>
      <w:r>
        <w:rPr>
          <w:rFonts w:ascii="Times New Roman" w:cs="Times New Roman" w:eastAsia="Times New Roman" w:hAnsi="Times New Roman"/>
          <w:sz w:val="17"/>
          <w:szCs w:val="17"/>
          <w:color w:val="auto"/>
        </w:rPr>
        <w:t>The following table reconciles the elements of the Business Combination to the consolidated statements of cash flows for the year ended December 31, 2025: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540" w:type="dxa"/>
            <w:vAlign w:val="bottom"/>
          </w:tcPr>
          <w:p>
            <w:pPr>
              <w:spacing w:after="0"/>
              <w:rPr>
                <w:sz w:val="19"/>
                <w:szCs w:val="19"/>
                <w:color w:val="auto"/>
              </w:rPr>
            </w:pPr>
          </w:p>
        </w:tc>
        <w:tc>
          <w:tcPr>
            <w:tcW w:w="18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Cash-trust and cash, net of redemptions</w:t>
            </w:r>
          </w:p>
        </w:tc>
        <w:tc>
          <w:tcPr>
            <w:tcW w:w="186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243,066,977</w:t>
            </w:r>
          </w:p>
        </w:tc>
        <w:tc>
          <w:tcPr>
            <w:tcW w:w="280" w:type="dxa"/>
            <w:vAlign w:val="bottom"/>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Add: proceeds from issuance of shares from PIPE investors</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49,500,000</w:t>
            </w:r>
          </w:p>
        </w:tc>
        <w:tc>
          <w:tcPr>
            <w:tcW w:w="280" w:type="dxa"/>
            <w:vAlign w:val="bottom"/>
          </w:tcPr>
          <w:p>
            <w:pPr>
              <w:spacing w:after="0"/>
              <w:rPr>
                <w:sz w:val="18"/>
                <w:szCs w:val="18"/>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 and professional fees, paid</w:t>
            </w: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(22,305,729)</w:t>
            </w:r>
          </w:p>
        </w:tc>
      </w:tr>
      <w:tr>
        <w:trPr>
          <w:trHeight w:val="202"/>
        </w:trPr>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Net proceeds from the Business Combination</w:t>
            </w:r>
          </w:p>
        </w:tc>
        <w:tc>
          <w:tcPr>
            <w:tcW w:w="14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270,261,248</w:t>
            </w:r>
          </w:p>
        </w:tc>
        <w:tc>
          <w:tcPr>
            <w:tcW w:w="280" w:type="dxa"/>
            <w:vAlign w:val="bottom"/>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provides a reconciliation of the common and exchangeable shares as of December 31, 2025:</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TEDI existing shares at closing date:</w:t>
            </w:r>
          </w:p>
        </w:tc>
        <w:tc>
          <w:tcPr>
            <w:tcW w:w="1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Series A shares</w:t>
            </w:r>
          </w:p>
        </w:tc>
        <w:tc>
          <w:tcPr>
            <w:tcW w:w="1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200,592</w:t>
            </w:r>
          </w:p>
        </w:tc>
        <w:tc>
          <w:tcPr>
            <w:tcW w:w="300" w:type="dxa"/>
            <w:vAlign w:val="bottom"/>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112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784,831</w:t>
            </w:r>
          </w:p>
        </w:tc>
        <w:tc>
          <w:tcPr>
            <w:tcW w:w="300" w:type="dxa"/>
            <w:vAlign w:val="bottom"/>
            <w:tcBorders>
              <w:bottom w:val="single" w:sz="8" w:color="CCEEFF"/>
            </w:tcBorders>
          </w:tcPr>
          <w:p>
            <w:pPr>
              <w:spacing w:after="0"/>
              <w:rPr>
                <w:sz w:val="18"/>
                <w:szCs w:val="18"/>
                <w:color w:val="auto"/>
              </w:rPr>
            </w:pP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TEDI shares at closing date</w:t>
            </w:r>
          </w:p>
        </w:tc>
        <w:tc>
          <w:tcPr>
            <w:tcW w:w="112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985,423</w:t>
            </w:r>
          </w:p>
        </w:tc>
        <w:tc>
          <w:tcPr>
            <w:tcW w:w="300" w:type="dxa"/>
            <w:vAlign w:val="bottom"/>
            <w:shd w:val="clear" w:color="auto" w:fill="CCEEFF"/>
          </w:tcPr>
          <w:p>
            <w:pPr>
              <w:spacing w:after="0"/>
              <w:rPr>
                <w:sz w:val="17"/>
                <w:szCs w:val="17"/>
                <w:color w:val="auto"/>
              </w:rPr>
            </w:pPr>
          </w:p>
        </w:tc>
      </w:tr>
      <w:tr>
        <w:trPr>
          <w:trHeight w:val="24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TEDI shares at closing date - recasted</w:t>
            </w:r>
          </w:p>
        </w:tc>
        <w:tc>
          <w:tcPr>
            <w:tcW w:w="11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44,051,295</w:t>
            </w:r>
          </w:p>
        </w:tc>
        <w:tc>
          <w:tcPr>
            <w:tcW w:w="300" w:type="dxa"/>
            <w:vAlign w:val="bottom"/>
            <w:tcBorders>
              <w:bottom w:val="single" w:sz="8" w:color="CCEEFF"/>
            </w:tcBorders>
          </w:tcPr>
          <w:p>
            <w:pPr>
              <w:spacing w:after="0"/>
              <w:rPr>
                <w:sz w:val="21"/>
                <w:szCs w:val="21"/>
                <w:color w:val="auto"/>
              </w:rPr>
            </w:pPr>
          </w:p>
        </w:tc>
      </w:tr>
      <w:tr>
        <w:trPr>
          <w:trHeight w:val="188"/>
        </w:trPr>
        <w:tc>
          <w:tcPr>
            <w:tcW w:w="56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Conversion of convertible notes to common shares</w:t>
            </w:r>
          </w:p>
        </w:tc>
        <w:tc>
          <w:tcPr>
            <w:tcW w:w="112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3,977,517</w:t>
            </w:r>
          </w:p>
        </w:tc>
        <w:tc>
          <w:tcPr>
            <w:tcW w:w="300" w:type="dxa"/>
            <w:vAlign w:val="bottom"/>
            <w:shd w:val="clear" w:color="auto" w:fill="CCEEFF"/>
          </w:tcPr>
          <w:p>
            <w:pPr>
              <w:spacing w:after="0"/>
              <w:rPr>
                <w:sz w:val="16"/>
                <w:szCs w:val="16"/>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shares to PIPE investors</w:t>
            </w:r>
          </w:p>
        </w:tc>
        <w:tc>
          <w:tcPr>
            <w:tcW w:w="1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300" w:type="dxa"/>
            <w:vAlign w:val="bottom"/>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shares to HCM II</w:t>
            </w:r>
          </w:p>
        </w:tc>
        <w:tc>
          <w:tcPr>
            <w:tcW w:w="112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28,742,610</w:t>
            </w:r>
          </w:p>
        </w:tc>
        <w:tc>
          <w:tcPr>
            <w:tcW w:w="300" w:type="dxa"/>
            <w:vAlign w:val="bottom"/>
            <w:shd w:val="clear" w:color="auto" w:fill="CCEEFF"/>
          </w:tcPr>
          <w:p>
            <w:pPr>
              <w:spacing w:after="0"/>
              <w:rPr>
                <w:sz w:val="18"/>
                <w:szCs w:val="18"/>
                <w:color w:val="auto"/>
              </w:rPr>
            </w:pPr>
          </w:p>
        </w:tc>
      </w:tr>
      <w:tr>
        <w:trPr>
          <w:trHeight w:val="24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recapitalized common shares at December 31, 2025</w:t>
            </w:r>
          </w:p>
        </w:tc>
        <w:tc>
          <w:tcPr>
            <w:tcW w:w="11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81,771,422</w:t>
            </w:r>
          </w:p>
        </w:tc>
        <w:tc>
          <w:tcPr>
            <w:tcW w:w="300" w:type="dxa"/>
            <w:vAlign w:val="bottom"/>
            <w:tcBorders>
              <w:bottom w:val="single" w:sz="8" w:color="CCEEFF"/>
            </w:tcBorders>
          </w:tcPr>
          <w:p>
            <w:pPr>
              <w:spacing w:after="0"/>
              <w:rPr>
                <w:sz w:val="21"/>
                <w:szCs w:val="21"/>
                <w:color w:val="auto"/>
              </w:rPr>
            </w:pPr>
          </w:p>
        </w:tc>
      </w:tr>
      <w:tr>
        <w:trPr>
          <w:trHeight w:val="188"/>
        </w:trPr>
        <w:tc>
          <w:tcPr>
            <w:tcW w:w="5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TEDI existing exchangeable shares at closing date:</w:t>
            </w:r>
          </w:p>
        </w:tc>
        <w:tc>
          <w:tcPr>
            <w:tcW w:w="11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exchangeable shares</w:t>
            </w:r>
          </w:p>
        </w:tc>
        <w:tc>
          <w:tcPr>
            <w:tcW w:w="1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300" w:type="dxa"/>
            <w:vAlign w:val="bottom"/>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Common exchangeable shares</w:t>
            </w:r>
          </w:p>
        </w:tc>
        <w:tc>
          <w:tcPr>
            <w:tcW w:w="112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530,924</w:t>
            </w:r>
          </w:p>
        </w:tc>
        <w:tc>
          <w:tcPr>
            <w:tcW w:w="300" w:type="dxa"/>
            <w:vAlign w:val="bottom"/>
            <w:tcBorders>
              <w:bottom w:val="single" w:sz="8" w:color="CCEEFF"/>
            </w:tcBorders>
          </w:tcPr>
          <w:p>
            <w:pPr>
              <w:spacing w:after="0"/>
              <w:rPr>
                <w:sz w:val="18"/>
                <w:szCs w:val="18"/>
                <w:color w:val="auto"/>
              </w:rPr>
            </w:pPr>
          </w:p>
        </w:tc>
      </w:tr>
      <w:tr>
        <w:trPr>
          <w:trHeight w:val="20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TEDI exchangeable shares at closing date</w:t>
            </w:r>
          </w:p>
        </w:tc>
        <w:tc>
          <w:tcPr>
            <w:tcW w:w="112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537,124</w:t>
            </w:r>
          </w:p>
        </w:tc>
        <w:tc>
          <w:tcPr>
            <w:tcW w:w="300" w:type="dxa"/>
            <w:vAlign w:val="bottom"/>
            <w:shd w:val="clear" w:color="auto" w:fill="CCEEFF"/>
          </w:tcPr>
          <w:p>
            <w:pPr>
              <w:spacing w:after="0"/>
              <w:rPr>
                <w:sz w:val="17"/>
                <w:szCs w:val="17"/>
                <w:color w:val="auto"/>
              </w:rPr>
            </w:pPr>
          </w:p>
        </w:tc>
      </w:tr>
      <w:tr>
        <w:trPr>
          <w:trHeight w:val="24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TEDI exchangeable shares at closing date - recasted</w:t>
            </w:r>
          </w:p>
        </w:tc>
        <w:tc>
          <w:tcPr>
            <w:tcW w:w="11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24,011,017</w:t>
            </w:r>
          </w:p>
        </w:tc>
        <w:tc>
          <w:tcPr>
            <w:tcW w:w="300" w:type="dxa"/>
            <w:vAlign w:val="bottom"/>
            <w:tcBorders>
              <w:bottom w:val="single" w:sz="8" w:color="CCEEFF"/>
            </w:tcBorders>
          </w:tcPr>
          <w:p>
            <w:pPr>
              <w:spacing w:after="0"/>
              <w:rPr>
                <w:sz w:val="21"/>
                <w:szCs w:val="21"/>
                <w:color w:val="auto"/>
              </w:rPr>
            </w:pPr>
          </w:p>
        </w:tc>
      </w:tr>
      <w:tr>
        <w:trPr>
          <w:trHeight w:val="188"/>
        </w:trPr>
        <w:tc>
          <w:tcPr>
            <w:tcW w:w="5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preferred exchangeable shares to exchangeable shares</w:t>
            </w:r>
          </w:p>
        </w:tc>
        <w:tc>
          <w:tcPr>
            <w:tcW w:w="11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277,158</w:t>
            </w:r>
          </w:p>
        </w:tc>
        <w:tc>
          <w:tcPr>
            <w:tcW w:w="300" w:type="dxa"/>
            <w:vAlign w:val="bottom"/>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common exchangeable shares to exchangeable shares</w:t>
            </w:r>
          </w:p>
        </w:tc>
        <w:tc>
          <w:tcPr>
            <w:tcW w:w="112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23,733,859</w:t>
            </w:r>
          </w:p>
        </w:tc>
        <w:tc>
          <w:tcPr>
            <w:tcW w:w="300" w:type="dxa"/>
            <w:vAlign w:val="bottom"/>
            <w:shd w:val="clear" w:color="auto" w:fill="CCEEFF"/>
          </w:tcPr>
          <w:p>
            <w:pPr>
              <w:spacing w:after="0"/>
              <w:rPr>
                <w:sz w:val="18"/>
                <w:szCs w:val="18"/>
                <w:color w:val="auto"/>
              </w:rPr>
            </w:pPr>
          </w:p>
        </w:tc>
      </w:tr>
      <w:tr>
        <w:trPr>
          <w:trHeight w:val="202"/>
        </w:trPr>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recapitalized exchangeable shares at December 31, 2025</w:t>
            </w:r>
          </w:p>
        </w:tc>
        <w:tc>
          <w:tcPr>
            <w:tcW w:w="1120" w:type="dxa"/>
            <w:vAlign w:val="bottom"/>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24,011,017</w:t>
            </w:r>
          </w:p>
        </w:tc>
        <w:tc>
          <w:tcPr>
            <w:tcW w:w="300" w:type="dxa"/>
            <w:vAlign w:val="bottom"/>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40" w:right="159"/>
        <w:spacing w:after="0" w:line="295" w:lineRule="auto"/>
        <w:rPr>
          <w:sz w:val="20"/>
          <w:szCs w:val="20"/>
          <w:color w:val="auto"/>
        </w:rPr>
      </w:pPr>
      <w:r>
        <w:rPr>
          <w:rFonts w:ascii="Times New Roman" w:cs="Times New Roman" w:eastAsia="Times New Roman" w:hAnsi="Times New Roman"/>
          <w:sz w:val="17"/>
          <w:szCs w:val="17"/>
          <w:color w:val="auto"/>
        </w:rPr>
        <w:t>The below table represents the amount of the Company’s transaction expenses included in the financial statements for the year ended December 31, 2025:</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ind w:left="6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8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44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14,324,981</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Legal expenses</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7,980,748</w:t>
            </w:r>
          </w:p>
        </w:tc>
        <w:tc>
          <w:tcPr>
            <w:tcW w:w="3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transaction costs</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22,305,729</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4. Prepaid Expenses and Other Current Assets</w:t>
            </w: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prepaid expenses and other current assets were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38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3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520" w:type="dxa"/>
            <w:vAlign w:val="bottom"/>
            <w:gridSpan w:val="2"/>
          </w:tcPr>
          <w:p>
            <w:pPr>
              <w:jc w:val="right"/>
              <w:ind w:right="233"/>
              <w:spacing w:after="0" w:line="13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29"/>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tax receivable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92,547</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Government grants receivable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software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Prepaid insurance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1,007,243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prepaid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178,567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1,769,264</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270,091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300"/>
              <w:spacing w:after="0"/>
              <w:rPr>
                <w:sz w:val="20"/>
                <w:szCs w:val="20"/>
                <w:color w:val="auto"/>
              </w:rPr>
            </w:pPr>
            <w:r>
              <w:rPr>
                <w:rFonts w:ascii="Times New Roman" w:cs="Times New Roman" w:eastAsia="Times New Roman" w:hAnsi="Times New Roman"/>
                <w:sz w:val="17"/>
                <w:szCs w:val="17"/>
                <w:color w:val="auto"/>
              </w:rPr>
              <w:t>F-19</w:t>
            </w: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6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7"/>
        </w:trPr>
        <w:tc>
          <w:tcPr>
            <w:tcW w:w="6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9"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property and equipment, net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r>
      <w:tr>
        <w:trPr>
          <w:trHeight w:val="137"/>
        </w:trPr>
        <w:tc>
          <w:tcPr>
            <w:tcW w:w="5060" w:type="dxa"/>
            <w:vAlign w:val="bottom"/>
          </w:tcPr>
          <w:p>
            <w:pPr>
              <w:spacing w:after="0"/>
              <w:rPr>
                <w:sz w:val="11"/>
                <w:szCs w:val="11"/>
                <w:color w:val="auto"/>
              </w:rPr>
            </w:pPr>
          </w:p>
        </w:tc>
        <w:tc>
          <w:tcPr>
            <w:tcW w:w="1820" w:type="dxa"/>
            <w:vAlign w:val="bottom"/>
            <w:gridSpan w:val="2"/>
          </w:tcPr>
          <w:p>
            <w:pPr>
              <w:jc w:val="right"/>
              <w:ind w:right="33"/>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6"/>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260" w:type="dxa"/>
            <w:vAlign w:val="bottom"/>
            <w:gridSpan w:val="2"/>
          </w:tcPr>
          <w:p>
            <w:pPr>
              <w:jc w:val="right"/>
              <w:ind w:right="33"/>
              <w:spacing w:after="0" w:line="13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r>
      <w:tr>
        <w:trPr>
          <w:trHeight w:val="202"/>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738,809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1,548,538</w:t>
            </w:r>
          </w:p>
        </w:tc>
        <w:tc>
          <w:tcPr>
            <w:tcW w:w="20" w:type="dxa"/>
            <w:vAlign w:val="bottom"/>
          </w:tcPr>
          <w:p>
            <w:pPr>
              <w:spacing w:after="0"/>
              <w:rPr>
                <w:sz w:val="17"/>
                <w:szCs w:val="17"/>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1,199,373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5,123,755</w:t>
            </w:r>
          </w:p>
        </w:tc>
        <w:tc>
          <w:tcPr>
            <w:tcW w:w="20" w:type="dxa"/>
            <w:vAlign w:val="bottom"/>
          </w:tcPr>
          <w:p>
            <w:pPr>
              <w:spacing w:after="0"/>
              <w:rPr>
                <w:sz w:val="18"/>
                <w:szCs w:val="18"/>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4,827</w:t>
            </w:r>
          </w:p>
        </w:tc>
        <w:tc>
          <w:tcPr>
            <w:tcW w:w="20" w:type="dxa"/>
            <w:vAlign w:val="bottom"/>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163,756</w:t>
            </w:r>
          </w:p>
        </w:tc>
        <w:tc>
          <w:tcPr>
            <w:tcW w:w="20" w:type="dxa"/>
            <w:vAlign w:val="bottom"/>
          </w:tcPr>
          <w:p>
            <w:pPr>
              <w:spacing w:after="0"/>
              <w:rPr>
                <w:sz w:val="18"/>
                <w:szCs w:val="18"/>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687,024</w:t>
            </w:r>
          </w:p>
        </w:tc>
        <w:tc>
          <w:tcPr>
            <w:tcW w:w="20" w:type="dxa"/>
            <w:vAlign w:val="bottom"/>
          </w:tcPr>
          <w:p>
            <w:pPr>
              <w:spacing w:after="0"/>
              <w:rPr>
                <w:sz w:val="18"/>
                <w:szCs w:val="18"/>
                <w:color w:val="auto"/>
              </w:rPr>
            </w:pPr>
          </w:p>
        </w:tc>
      </w:tr>
      <w:tr>
        <w:trPr>
          <w:trHeight w:val="202"/>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2,105,165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7,527,900</w:t>
            </w:r>
          </w:p>
        </w:tc>
        <w:tc>
          <w:tcPr>
            <w:tcW w:w="20" w:type="dxa"/>
            <w:vAlign w:val="bottom"/>
          </w:tcPr>
          <w:p>
            <w:pPr>
              <w:spacing w:after="0"/>
              <w:rPr>
                <w:sz w:val="17"/>
                <w:szCs w:val="17"/>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(1,270,370)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(6,757,352)</w:t>
            </w:r>
          </w:p>
        </w:tc>
        <w:tc>
          <w:tcPr>
            <w:tcW w:w="20" w:type="dxa"/>
            <w:vAlign w:val="bottom"/>
          </w:tcPr>
          <w:p>
            <w:pPr>
              <w:spacing w:after="0"/>
              <w:rPr>
                <w:sz w:val="18"/>
                <w:szCs w:val="18"/>
                <w:color w:val="auto"/>
              </w:rPr>
            </w:pPr>
          </w:p>
        </w:tc>
      </w:tr>
      <w:tr>
        <w:trPr>
          <w:trHeight w:val="202"/>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834,795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770,548</w:t>
            </w:r>
          </w:p>
        </w:tc>
        <w:tc>
          <w:tcPr>
            <w:tcW w:w="2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right="539"/>
        <w:spacing w:after="0" w:line="295" w:lineRule="auto"/>
        <w:rPr>
          <w:sz w:val="20"/>
          <w:szCs w:val="20"/>
          <w:color w:val="auto"/>
        </w:rPr>
      </w:pPr>
      <w:r>
        <w:rPr>
          <w:rFonts w:ascii="Times New Roman" w:cs="Times New Roman" w:eastAsia="Times New Roman" w:hAnsi="Times New Roman"/>
          <w:sz w:val="17"/>
          <w:szCs w:val="17"/>
          <w:color w:val="auto"/>
        </w:rPr>
        <w:t>Depreciation and amortization expense on property and equipment for the years ended December 31, 2025 and 2024 was $1,012,872 and $1,206,215, respectively.</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6. Intangible Assets, Net</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intangible assets, net were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r>
      <w:tr>
        <w:trPr>
          <w:trHeight w:val="137"/>
        </w:trPr>
        <w:tc>
          <w:tcPr>
            <w:tcW w:w="4140" w:type="dxa"/>
            <w:vAlign w:val="bottom"/>
          </w:tcPr>
          <w:p>
            <w:pPr>
              <w:spacing w:after="0"/>
              <w:rPr>
                <w:sz w:val="11"/>
                <w:szCs w:val="11"/>
                <w:color w:val="auto"/>
              </w:rPr>
            </w:pPr>
          </w:p>
        </w:tc>
        <w:tc>
          <w:tcPr>
            <w:tcW w:w="2660" w:type="dxa"/>
            <w:vAlign w:val="bottom"/>
            <w:gridSpan w:val="2"/>
          </w:tcPr>
          <w:p>
            <w:pPr>
              <w:ind w:left="1880"/>
              <w:spacing w:after="0" w:line="13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3"/>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8"/>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1"/>
                <w:szCs w:val="11"/>
                <w:color w:val="auto"/>
              </w:rPr>
            </w:pPr>
          </w:p>
        </w:tc>
        <w:tc>
          <w:tcPr>
            <w:tcW w:w="240" w:type="dxa"/>
            <w:vAlign w:val="bottom"/>
            <w:gridSpan w:val="2"/>
          </w:tcPr>
          <w:p>
            <w:pPr>
              <w:jc w:val="right"/>
              <w:ind w:right="13"/>
              <w:spacing w:after="0" w:line="13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r>
      <w:tr>
        <w:trPr>
          <w:trHeight w:val="202"/>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Intellectual property rights</w:t>
            </w:r>
          </w:p>
        </w:tc>
        <w:tc>
          <w:tcPr>
            <w:tcW w:w="19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 years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22,800</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21,718</w:t>
            </w:r>
          </w:p>
        </w:tc>
        <w:tc>
          <w:tcPr>
            <w:tcW w:w="20" w:type="dxa"/>
            <w:vAlign w:val="bottom"/>
          </w:tcPr>
          <w:p>
            <w:pPr>
              <w:spacing w:after="0"/>
              <w:rPr>
                <w:sz w:val="17"/>
                <w:szCs w:val="17"/>
                <w:color w:val="auto"/>
              </w:rPr>
            </w:pPr>
          </w:p>
        </w:tc>
      </w:tr>
      <w:tr>
        <w:trPr>
          <w:trHeight w:val="209"/>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Patents and trademarks</w:t>
            </w:r>
          </w:p>
        </w:tc>
        <w:tc>
          <w:tcPr>
            <w:tcW w:w="19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20 years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991,930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865,682</w:t>
            </w:r>
          </w:p>
        </w:tc>
        <w:tc>
          <w:tcPr>
            <w:tcW w:w="20" w:type="dxa"/>
            <w:vAlign w:val="bottom"/>
          </w:tcPr>
          <w:p>
            <w:pPr>
              <w:spacing w:after="0"/>
              <w:rPr>
                <w:sz w:val="18"/>
                <w:szCs w:val="18"/>
                <w:color w:val="auto"/>
              </w:rPr>
            </w:pP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940" w:type="dxa"/>
            <w:vAlign w:val="bottom"/>
            <w:shd w:val="clear" w:color="auto" w:fill="CCEEFF"/>
          </w:tcPr>
          <w:p>
            <w:pPr>
              <w:spacing w:after="0"/>
              <w:rPr>
                <w:sz w:val="17"/>
                <w:szCs w:val="17"/>
                <w:color w:val="auto"/>
              </w:rPr>
            </w:pP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1,014,730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887,400</w:t>
            </w:r>
          </w:p>
        </w:tc>
        <w:tc>
          <w:tcPr>
            <w:tcW w:w="20" w:type="dxa"/>
            <w:vAlign w:val="bottom"/>
          </w:tcPr>
          <w:p>
            <w:pPr>
              <w:spacing w:after="0"/>
              <w:rPr>
                <w:sz w:val="17"/>
                <w:szCs w:val="17"/>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94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(306,981)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(270,428)</w:t>
            </w:r>
          </w:p>
        </w:tc>
        <w:tc>
          <w:tcPr>
            <w:tcW w:w="20" w:type="dxa"/>
            <w:vAlign w:val="bottom"/>
          </w:tcPr>
          <w:p>
            <w:pPr>
              <w:spacing w:after="0"/>
              <w:rPr>
                <w:sz w:val="18"/>
                <w:szCs w:val="18"/>
                <w:color w:val="auto"/>
              </w:rPr>
            </w:pPr>
          </w:p>
        </w:tc>
      </w:tr>
      <w:tr>
        <w:trPr>
          <w:trHeight w:val="202"/>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707,749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616,972</w:t>
            </w:r>
          </w:p>
        </w:tc>
        <w:tc>
          <w:tcPr>
            <w:tcW w:w="20" w:type="dxa"/>
            <w:vAlign w:val="bottom"/>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right="559"/>
        <w:spacing w:after="0" w:line="295" w:lineRule="auto"/>
        <w:rPr>
          <w:sz w:val="20"/>
          <w:szCs w:val="20"/>
          <w:color w:val="auto"/>
        </w:rPr>
      </w:pPr>
      <w:r>
        <w:rPr>
          <w:rFonts w:ascii="Times New Roman" w:cs="Times New Roman" w:eastAsia="Times New Roman" w:hAnsi="Times New Roman"/>
          <w:sz w:val="17"/>
          <w:szCs w:val="17"/>
          <w:color w:val="auto"/>
        </w:rPr>
        <w:t>Amortization expense relating to the intangible assets for the years ended December 31, 2025 and 2024 was $25,254 and $50,176, respectively.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Estimated future amortization of intangibles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660" w:type="dxa"/>
            <w:vAlign w:val="bottom"/>
          </w:tcPr>
          <w:p>
            <w:pPr>
              <w:spacing w:after="0"/>
              <w:rPr>
                <w:sz w:val="14"/>
                <w:szCs w:val="14"/>
                <w:color w:val="auto"/>
              </w:rPr>
            </w:pPr>
          </w:p>
        </w:tc>
        <w:tc>
          <w:tcPr>
            <w:tcW w:w="42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2"/>
        </w:trPr>
        <w:tc>
          <w:tcPr>
            <w:tcW w:w="20" w:type="dxa"/>
            <w:vAlign w:val="bottom"/>
          </w:tcPr>
          <w:p>
            <w:pPr>
              <w:spacing w:after="0"/>
              <w:rPr>
                <w:sz w:val="17"/>
                <w:szCs w:val="17"/>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4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9"/>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43,417</w:t>
            </w:r>
          </w:p>
        </w:tc>
      </w:tr>
      <w:tr>
        <w:trPr>
          <w:trHeight w:val="209"/>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46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490,664</w:t>
            </w:r>
          </w:p>
        </w:tc>
      </w:tr>
      <w:tr>
        <w:trPr>
          <w:trHeight w:val="202"/>
        </w:trPr>
        <w:tc>
          <w:tcPr>
            <w:tcW w:w="20" w:type="dxa"/>
            <w:vAlign w:val="bottom"/>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707,749</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4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80" w:type="dxa"/>
            <w:vAlign w:val="bottom"/>
            <w:gridSpan w:val="3"/>
          </w:tcPr>
          <w:p>
            <w:pPr>
              <w:jc w:val="right"/>
              <w:ind w:right="3313"/>
              <w:spacing w:after="0"/>
              <w:rPr>
                <w:sz w:val="20"/>
                <w:szCs w:val="20"/>
                <w:color w:val="auto"/>
              </w:rPr>
            </w:pPr>
            <w:r>
              <w:rPr>
                <w:rFonts w:ascii="Times New Roman" w:cs="Times New Roman" w:eastAsia="Times New Roman" w:hAnsi="Times New Roman"/>
                <w:sz w:val="17"/>
                <w:szCs w:val="17"/>
                <w:color w:val="auto"/>
              </w:rPr>
              <w:t>F-20</w:t>
            </w:r>
          </w:p>
        </w:tc>
        <w:tc>
          <w:tcPr>
            <w:tcW w:w="900" w:type="dxa"/>
            <w:vAlign w:val="bottom"/>
          </w:tcPr>
          <w:p>
            <w:pPr>
              <w:spacing w:after="0"/>
              <w:rPr>
                <w:sz w:val="24"/>
                <w:szCs w:val="24"/>
                <w:color w:val="auto"/>
              </w:rPr>
            </w:pPr>
          </w:p>
        </w:tc>
      </w:tr>
      <w:tr>
        <w:trPr>
          <w:trHeight w:val="737"/>
        </w:trPr>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Financial Instruments</w:t>
      </w:r>
    </w:p>
    <w:p>
      <w:pPr>
        <w:spacing w:after="0" w:line="224" w:lineRule="exact"/>
        <w:rPr>
          <w:sz w:val="20"/>
          <w:szCs w:val="20"/>
          <w:color w:val="auto"/>
        </w:rPr>
      </w:pPr>
    </w:p>
    <w:p>
      <w:pPr>
        <w:ind w:left="40" w:right="699"/>
        <w:spacing w:after="0" w:line="295" w:lineRule="auto"/>
        <w:rPr>
          <w:sz w:val="20"/>
          <w:szCs w:val="20"/>
          <w:color w:val="auto"/>
        </w:rPr>
      </w:pPr>
      <w:r>
        <w:rPr>
          <w:rFonts w:ascii="Times New Roman" w:cs="Times New Roman" w:eastAsia="Times New Roman" w:hAnsi="Times New Roman"/>
          <w:sz w:val="17"/>
          <w:szCs w:val="17"/>
          <w:color w:val="auto"/>
        </w:rPr>
        <w:t>The following table shows the Company’s cash, cash equivalents and short-term investments by significant investment category as of December 31, 2025.</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22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w w:val="96"/>
              </w:rPr>
              <w:t>Cash and Cash</w:t>
            </w:r>
          </w:p>
        </w:tc>
        <w:tc>
          <w:tcPr>
            <w:tcW w:w="80" w:type="dxa"/>
            <w:vAlign w:val="bottom"/>
          </w:tcPr>
          <w:p>
            <w:pPr>
              <w:spacing w:after="0"/>
              <w:rPr>
                <w:sz w:val="21"/>
                <w:szCs w:val="21"/>
                <w:color w:val="auto"/>
              </w:rPr>
            </w:pPr>
          </w:p>
        </w:tc>
        <w:tc>
          <w:tcPr>
            <w:tcW w:w="1120" w:type="dxa"/>
            <w:vAlign w:val="bottom"/>
            <w:gridSpan w:val="4"/>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Amortized Cost</w:t>
            </w: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Equivalents</w:t>
            </w:r>
          </w:p>
        </w:tc>
        <w:tc>
          <w:tcPr>
            <w:tcW w:w="80" w:type="dxa"/>
            <w:vAlign w:val="bottom"/>
          </w:tcPr>
          <w:p>
            <w:pPr>
              <w:spacing w:after="0"/>
              <w:rPr>
                <w:sz w:val="18"/>
                <w:szCs w:val="18"/>
                <w:color w:val="auto"/>
              </w:rPr>
            </w:pPr>
          </w:p>
        </w:tc>
        <w:tc>
          <w:tcPr>
            <w:tcW w:w="1120" w:type="dxa"/>
            <w:vAlign w:val="bottom"/>
            <w:gridSpan w:val="4"/>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3,266,974</w:t>
            </w: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Level 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Money market funds</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93,897,417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U.S. Treasury securities</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199,496,833</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1,129,448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200,626,281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200,626,281</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199,496,833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1,129,448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200,626,281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97,164,391</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200,626,281</w:t>
            </w:r>
          </w:p>
        </w:tc>
        <w:tc>
          <w:tcPr>
            <w:tcW w:w="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As of December 31, 2024, the Company’s cash and cash equivalents were $3,021,795.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7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8. Accounts Payable and Accrued Expenses</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components of accounts payable and accrued expenses were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jc w:val="right"/>
              <w:ind w:right="233"/>
              <w:spacing w:after="0" w:line="13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4,478,088</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366,321</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87,360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54,569</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contractor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47,956</w:t>
            </w:r>
          </w:p>
        </w:tc>
        <w:tc>
          <w:tcPr>
            <w:tcW w:w="0" w:type="dxa"/>
            <w:vAlign w:val="bottom"/>
          </w:tcPr>
          <w:p>
            <w:pPr>
              <w:spacing w:after="0"/>
              <w:rPr>
                <w:sz w:val="1"/>
                <w:szCs w:val="1"/>
                <w:color w:val="auto"/>
              </w:rPr>
            </w:pPr>
          </w:p>
        </w:tc>
      </w:tr>
      <w:tr>
        <w:trPr>
          <w:trHeight w:val="209"/>
        </w:trPr>
        <w:tc>
          <w:tcPr>
            <w:tcW w:w="2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Government grant repayment accrual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10,274</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842,905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269,747</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5,500,946</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748,867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9. Leases</w:t>
      </w:r>
    </w:p>
    <w:p>
      <w:pPr>
        <w:spacing w:after="0" w:line="224"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The Company leases office spaces and office equipment from various lessors. Some property leases contain extension options exercisable by the Company up to one year before the end of the non-cancellable contract period. The lease agreements do not contain any material residual value guarantees or material restrictive covenants. The components of lease cost for the year ended December 31, 2025 and 2024 are summarized below:</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7020" w:type="dxa"/>
            <w:vAlign w:val="bottom"/>
            <w:vMerge w:val="restart"/>
          </w:tcPr>
          <w:p>
            <w:pPr>
              <w:ind w:left="69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7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0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296,466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218,886</w:t>
            </w:r>
          </w:p>
        </w:tc>
        <w:tc>
          <w:tcPr>
            <w:tcW w:w="0" w:type="dxa"/>
            <w:vAlign w:val="bottom"/>
          </w:tcPr>
          <w:p>
            <w:pPr>
              <w:spacing w:after="0"/>
              <w:rPr>
                <w:sz w:val="1"/>
                <w:szCs w:val="1"/>
                <w:color w:val="auto"/>
              </w:rPr>
            </w:pPr>
          </w:p>
        </w:tc>
      </w:tr>
      <w:tr>
        <w:trPr>
          <w:trHeight w:val="209"/>
        </w:trPr>
        <w:tc>
          <w:tcPr>
            <w:tcW w:w="7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62,453</w:t>
            </w:r>
          </w:p>
        </w:tc>
        <w:tc>
          <w:tcPr>
            <w:tcW w:w="0" w:type="dxa"/>
            <w:vAlign w:val="bottom"/>
          </w:tcPr>
          <w:p>
            <w:pPr>
              <w:spacing w:after="0"/>
              <w:rPr>
                <w:sz w:val="1"/>
                <w:szCs w:val="1"/>
                <w:color w:val="auto"/>
              </w:rPr>
            </w:pPr>
          </w:p>
        </w:tc>
      </w:tr>
      <w:tr>
        <w:trPr>
          <w:trHeight w:val="202"/>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lease cost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281,339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40" w:right="199"/>
        <w:spacing w:after="0" w:line="275" w:lineRule="auto"/>
        <w:rPr>
          <w:sz w:val="20"/>
          <w:szCs w:val="20"/>
          <w:color w:val="auto"/>
        </w:rPr>
      </w:pPr>
      <w:r>
        <w:rPr>
          <w:rFonts w:ascii="Times New Roman" w:cs="Times New Roman" w:eastAsia="Times New Roman" w:hAnsi="Times New Roman"/>
          <w:sz w:val="17"/>
          <w:szCs w:val="17"/>
          <w:color w:val="auto"/>
        </w:rPr>
        <w:t>Operating lease costs are included under “general and administrative” in the consolidated statements of operations. Interest on finance leases are included under “interest expense” in the consolidated statements of operations, with amortization of finance leases included under “depreciation and amortization” in the consolidated statements of operations.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information — operating leases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4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4.22 %</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4.38 %</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328,496</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0" w:right="319"/>
        <w:spacing w:after="0" w:line="295" w:lineRule="auto"/>
        <w:rPr>
          <w:sz w:val="20"/>
          <w:szCs w:val="20"/>
          <w:color w:val="auto"/>
        </w:rPr>
      </w:pPr>
      <w:r>
        <w:rPr>
          <w:rFonts w:ascii="Times New Roman" w:cs="Times New Roman" w:eastAsia="Times New Roman" w:hAnsi="Times New Roman"/>
          <w:sz w:val="17"/>
          <w:szCs w:val="17"/>
          <w:color w:val="auto"/>
        </w:rPr>
        <w:t>Right-of-use assets obtained in exchange for operating lease liabilities for the year ended December 31, 2025 and 2024 were $970,279 and $144,978, respectively.</w:t>
      </w:r>
    </w:p>
    <w:p>
      <w:pPr>
        <w:spacing w:after="0" w:line="146" w:lineRule="exact"/>
        <w:rPr>
          <w:sz w:val="20"/>
          <w:szCs w:val="20"/>
          <w:color w:val="auto"/>
        </w:rPr>
      </w:pPr>
    </w:p>
    <w:p>
      <w:pPr>
        <w:ind w:left="40" w:right="659"/>
        <w:spacing w:after="0" w:line="295" w:lineRule="auto"/>
        <w:rPr>
          <w:sz w:val="20"/>
          <w:szCs w:val="20"/>
          <w:color w:val="auto"/>
        </w:rPr>
      </w:pPr>
      <w:r>
        <w:rPr>
          <w:rFonts w:ascii="Times New Roman" w:cs="Times New Roman" w:eastAsia="Times New Roman" w:hAnsi="Times New Roman"/>
          <w:sz w:val="17"/>
          <w:szCs w:val="17"/>
          <w:color w:val="auto"/>
        </w:rPr>
        <w:t>The following table reconciles the future undiscounted cash flows of operating leases to the operating and finance lease liabilities recorded on the consolidated balance sheet as of December 31, 2025:</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 range</w:t>
            </w: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0" w:type="dxa"/>
            <w:vAlign w:val="bottom"/>
          </w:tcPr>
          <w:p>
            <w:pPr>
              <w:spacing w:after="0"/>
              <w:rPr>
                <w:sz w:val="1"/>
                <w:szCs w:val="1"/>
                <w:color w:val="auto"/>
              </w:rPr>
            </w:pPr>
          </w:p>
        </w:tc>
      </w:tr>
      <w:tr>
        <w:trPr>
          <w:trHeight w:val="168"/>
        </w:trPr>
        <w:tc>
          <w:tcPr>
            <w:tcW w:w="6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0" w:type="dxa"/>
            <w:vAlign w:val="bottom"/>
          </w:tcPr>
          <w:p>
            <w:pPr>
              <w:spacing w:after="0"/>
              <w:rPr>
                <w:sz w:val="1"/>
                <w:szCs w:val="1"/>
                <w:color w:val="auto"/>
              </w:rPr>
            </w:pPr>
          </w:p>
        </w:tc>
      </w:tr>
      <w:tr>
        <w:trPr>
          <w:trHeight w:val="202"/>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0 – 1 years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458,502</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1 – 2 years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 – 3 years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3 – 4 years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 – 5 years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2,170,482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(186,587)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1,983,895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(383,223)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1,600,672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Government Grants</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7"/>
          <w:szCs w:val="17"/>
          <w:color w:val="auto"/>
        </w:rPr>
        <w:t>On September 2, 2020, the Ministry of Innovation, Science and Economic Development Canada (“ISED”) agreed to provide the Company with a conditionally repayable contribution of up to $20,000,000 CAD (“Contribution Agreement”) through the Strategic Innovation Fund (“SIF”) to fund eligible expenditures incurred from April 1, 2019 through December 31, 2021 related to the development of the Company’s patented IMSR reactor (“the “SIF Project”).</w:t>
      </w:r>
    </w:p>
    <w:p>
      <w:pPr>
        <w:spacing w:after="0" w:line="168"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The contribution is repayable annually at 3.00% of Gross Business Revenues (“GBR”), as defined in the Contribution Agreement, for a period of 25 years beginning at the start of the Company’s second fiscal year following completion of the SIF Project, or until total repayments reach up to 1.75 times the actual amount received from ISED, whichever occurs first. Repayments are calculated based on GBR earned during the Canadian government fiscal year (April 1 to March 31) and are due no later than April 30 following the end of the applicable government fiscal year. If no GBR is earned in a given government fiscal year, no repayment is required for that period. The repayment period expires on the later of April 30, 2048, or the date of the final repayment.</w:t>
      </w:r>
    </w:p>
    <w:p>
      <w:pPr>
        <w:spacing w:after="0" w:line="177"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color w:val="auto"/>
        </w:rPr>
        <w:t>The Company recognized the benefit of the contribution as government grant income in other income on a systematic basis as the related eligible expenditures were incurred (see Note 2, Significant Accounting Policies). Future repayments are contingent on the generation of GBR, and management is not able to reasonably estimate the timing or amount of such repayments as of December 31, 2025. Accordingly, no liability has been recognized for contingent future repayments beyond amounts accrued for repayments triggered by revenues earned to date.</w:t>
      </w:r>
    </w:p>
    <w:p>
      <w:pPr>
        <w:spacing w:after="0" w:line="170" w:lineRule="exact"/>
        <w:rPr>
          <w:sz w:val="20"/>
          <w:szCs w:val="20"/>
          <w:color w:val="auto"/>
        </w:rPr>
      </w:pPr>
    </w:p>
    <w:p>
      <w:pPr>
        <w:jc w:val="both"/>
        <w:ind w:left="40" w:right="319"/>
        <w:spacing w:after="0" w:line="275" w:lineRule="auto"/>
        <w:rPr>
          <w:sz w:val="20"/>
          <w:szCs w:val="20"/>
          <w:color w:val="auto"/>
        </w:rPr>
      </w:pPr>
      <w:r>
        <w:rPr>
          <w:rFonts w:ascii="Times New Roman" w:cs="Times New Roman" w:eastAsia="Times New Roman" w:hAnsi="Times New Roman"/>
          <w:sz w:val="17"/>
          <w:szCs w:val="17"/>
          <w:color w:val="auto"/>
        </w:rPr>
        <w:t>As of December 31, 2025, the Company has received total contributions of $14,925,373. The Company has recorded $0 and $10,274 as a repayment accrual as of December 31, 2025 and 2024, respectively, which is included in accounts payable and accrued expenses on the consolidated balance sheets.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Convertible Notes and Convertible Notes — Related Parties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2024 Bridge Round Offering</w:t>
      </w:r>
    </w:p>
    <w:p>
      <w:pPr>
        <w:spacing w:after="0" w:line="224"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From April 2024 through December 2024, the Company entered into subscription and exchange agreements for an offering of units with various investors, including related parties (the “Bridge Round Offering”). Each unit was comprised of (i) a convertible note and (ii) ten warrants expiring July 31, 2028 to buy common stock of the Company at $2.24 exercisable in cash or by cashless exercise based on the market price of shares in the specified manner.</w:t>
      </w:r>
    </w:p>
    <w:p>
      <w:pPr>
        <w:spacing w:after="0" w:line="168"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7"/>
          <w:szCs w:val="17"/>
          <w:color w:val="auto"/>
        </w:rPr>
        <w:t>Each convertible note was a secured convertible note of the Company in the principal amount of $1,000 per unit due July 31, 2026 with a principal amount of $1,000 bearing interest at 8%. The convertible notes (including unpaid interest) were automatically convertible prior to maturity into (i) (a) the shares of the surviving entity following a SPAC (Special Purpose Acquisition Company) merger at a conversion price equal to 75% of the issue price of the securities issued by such surviving entity and (b) certain limited rights to the issue of additional surviving entity securities 21 days after the expiry of the lock ups associated with the SPAC merger transaction to compensate for any price evolution in the trading price of such securities below the issue price down to $5.00; (ii) the Company’s common or preferred stock in the case of a $50.0 million issuance of common or preferred stock (excluding units or monies raised in connection with a SPAC merger) at a conversion price equal to 75% of the issue price of such securities, or (iii) the same class of shares of the Company issued in connection with an IPO shares at a conversion price equal to 75% of the price of such shares immediately post IPO.</w:t>
      </w:r>
    </w:p>
    <w:p>
      <w:pPr>
        <w:spacing w:after="0" w:line="180"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The Company’s obligations under the convertible notes, are secured in favor of each convertible note holder by a guaranty made by the Company and a security interest in all present and after acquired personal property and assets of the Company. The convertible notes include a prohibition on the Company granting liens or security interests on its assets outside the ordinary course of business.</w:t>
      </w:r>
    </w:p>
    <w:p>
      <w:pPr>
        <w:spacing w:after="0" w:line="168"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7"/>
          <w:szCs w:val="17"/>
          <w:color w:val="auto"/>
        </w:rPr>
        <w:t>Additionally, the Company entered into exchange agreements with each of the previously outstanding Convertible Note holders whereby the holders received similar rights as investors in the Bridge Round Offering. The Company evaluated the exchange agreement and determined it was not required to be accounted for as a Troubled Debt Restructuring under ASC 470-60 as no concession was granted to the Company. The Company then evaluated the exchange under ASC 470-50, Debt — Modifications and Extinguishment.</w:t>
      </w:r>
    </w:p>
    <w:p>
      <w:pPr>
        <w:spacing w:after="0" w:line="170"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7"/>
          <w:szCs w:val="17"/>
          <w:color w:val="auto"/>
        </w:rPr>
        <w:t>The 2024 Bridge Round Convertible Notes are required to be accounted for as an ASC 480-10 liability as a result of the Variable Share Settlement provisions. The warrants issued in the Bridge Round Offering (the “Bridge Warrants”) qualified as permanent equity under ASC 815-40; therefore, the Bridge Warrants were recognized within paid-in capital and measured at relative fair value. When estimating the fair value of the Bridge Warrants, the Company has followed the guidance in ASC 820 Fair Value Measurement.</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value of the Bridge Warrants was based on Black-Scholes pricing model based on the following inputs: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tcPr>
          <w:p>
            <w:pPr>
              <w:ind w:left="7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2024 Bridge</w:t>
            </w:r>
          </w:p>
        </w:tc>
      </w:tr>
      <w:tr>
        <w:trPr>
          <w:trHeight w:val="168"/>
        </w:trPr>
        <w:tc>
          <w:tcPr>
            <w:tcW w:w="7700" w:type="dxa"/>
            <w:vAlign w:val="bottom"/>
          </w:tcPr>
          <w:p>
            <w:pPr>
              <w:spacing w:after="0"/>
              <w:rPr>
                <w:sz w:val="14"/>
                <w:szCs w:val="14"/>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Round Offering</w:t>
            </w:r>
          </w:p>
        </w:tc>
      </w:tr>
      <w:tr>
        <w:trPr>
          <w:trHeight w:val="202"/>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Exercise (Strike)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maturity (years)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7"/>
                <w:szCs w:val="17"/>
                <w:color w:val="auto"/>
              </w:rPr>
              <w:t>Annualized risk-free rate</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20" w:type="dxa"/>
            <w:vAlign w:val="bottom"/>
          </w:tcPr>
          <w:p>
            <w:pPr>
              <w:spacing w:after="0"/>
              <w:rPr>
                <w:sz w:val="18"/>
                <w:szCs w:val="18"/>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63.0 %</w:t>
            </w:r>
          </w:p>
        </w:tc>
        <w:tc>
          <w:tcPr>
            <w:tcW w:w="20" w:type="dxa"/>
            <w:vAlign w:val="bottom"/>
          </w:tcPr>
          <w:p>
            <w:pPr>
              <w:spacing w:after="0"/>
              <w:rPr>
                <w:sz w:val="18"/>
                <w:szCs w:val="18"/>
                <w:color w:val="auto"/>
              </w:rPr>
            </w:pPr>
          </w:p>
        </w:tc>
      </w:tr>
      <w:tr>
        <w:trPr>
          <w:trHeight w:val="835"/>
        </w:trPr>
        <w:tc>
          <w:tcPr>
            <w:tcW w:w="7700" w:type="dxa"/>
            <w:vAlign w:val="bottom"/>
          </w:tcPr>
          <w:p>
            <w:pPr>
              <w:ind w:left="4300"/>
              <w:spacing w:after="0"/>
              <w:rPr>
                <w:sz w:val="20"/>
                <w:szCs w:val="20"/>
                <w:color w:val="auto"/>
              </w:rPr>
            </w:pPr>
            <w:r>
              <w:rPr>
                <w:rFonts w:ascii="Times New Roman" w:cs="Times New Roman" w:eastAsia="Times New Roman" w:hAnsi="Times New Roman"/>
                <w:sz w:val="17"/>
                <w:szCs w:val="17"/>
                <w:color w:val="auto"/>
              </w:rPr>
              <w:t>F-23</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0"/>
        </w:trPr>
        <w:tc>
          <w:tcPr>
            <w:tcW w:w="7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2025 Bridge Round Offering</w:t>
      </w:r>
    </w:p>
    <w:p>
      <w:pPr>
        <w:spacing w:after="0" w:line="224"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7"/>
          <w:szCs w:val="17"/>
          <w:color w:val="auto"/>
        </w:rPr>
        <w:t>During February 2025 the Company entered into subscription and exchange agreements for an offering of units with various investors, including related parties (the “February 2025 Offering”) providing for proceeds of $11.0 million. Each unit was comprised of (i) a convertible note and (ii) ten warrants expiring July 31, 2028 to buy common stock of the Company at $2.24 exercisable in cash or by cashless exercise based on the market price of shares in the specified manner.</w:t>
      </w:r>
    </w:p>
    <w:p>
      <w:pPr>
        <w:spacing w:after="0" w:line="168"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7"/>
          <w:szCs w:val="17"/>
          <w:color w:val="auto"/>
        </w:rPr>
        <w:t>Each convertible note was a secured convertible note of the Company in the principal amount of $1,000 per unit due July 31, 2026 with a principal amount of $1,000 bearing interest at 8%. The convertible notes (including unpaid interest) were automatically convertible prior to maturity into (i) (a) the shares of the surviving entity following a Special Purpose Acquisition Company (“SPAC”) merger at a conversion price equal to 75% of the issue price of the securities issued by such surviving entity and (b) certain limited rights to the issue of additional surviving entity securities 21 days after the expiry of the lock ups associated with the SPAC merger transaction to compensate for any price evolution in the trading price of such securities below the issue price down to $5.00; (ii) the Company’s common or preferred stock in the case of a $50.0 million issuance of common or preferred stock (excluding units or monies raised in connection with a SPAC merger) at a conversion price equal to 75% of the issue price of such securities, or (iii) same class of shares of the Company issued in connection with IPO shares at a conversion price equal to 75% of the price of such shares immediately post IPO.</w:t>
      </w:r>
    </w:p>
    <w:p>
      <w:pPr>
        <w:spacing w:after="0" w:line="180"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The Company’s obligations under the convertible notes, are secured in favor of each convertible note holder by a guaranty made by the Company and a security interest in all present and after acquired personal property and assets of the Company. The convertible notes include a prohibition on the Company granting liens or security interests on its assets outside the ordinary course of business.</w:t>
      </w:r>
    </w:p>
    <w:p>
      <w:pPr>
        <w:spacing w:after="0" w:line="168"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7"/>
          <w:szCs w:val="17"/>
          <w:color w:val="auto"/>
        </w:rPr>
        <w:t>The February 2025 Offering convertible notes are required to be accounted for as an ASC 480-10 liability as a result of the Variable Share Settlement provisions. The warrants qualified as permanent equity under ASC 815-40; therefore, the warrants were recognized within paid-in capital and measured at relative fair value. When estimating the fair value of the warrants, the Company has followed the guidance in ASC 820 Fair Value Measurement.</w:t>
      </w:r>
    </w:p>
    <w:p>
      <w:pPr>
        <w:spacing w:after="0" w:line="168" w:lineRule="exact"/>
        <w:rPr>
          <w:sz w:val="20"/>
          <w:szCs w:val="20"/>
          <w:color w:val="auto"/>
        </w:rPr>
      </w:pPr>
    </w:p>
    <w:p>
      <w:pPr>
        <w:ind w:left="40" w:right="179"/>
        <w:spacing w:after="0" w:line="295" w:lineRule="auto"/>
        <w:rPr>
          <w:sz w:val="20"/>
          <w:szCs w:val="20"/>
          <w:color w:val="auto"/>
        </w:rPr>
      </w:pPr>
      <w:r>
        <w:rPr>
          <w:rFonts w:ascii="Times New Roman" w:cs="Times New Roman" w:eastAsia="Times New Roman" w:hAnsi="Times New Roman"/>
          <w:sz w:val="17"/>
          <w:szCs w:val="17"/>
          <w:color w:val="auto"/>
        </w:rPr>
        <w:t>The fair value of the warrants issued with the February 2025 Offering was based on Black-Scholes pricing model based on the following inputs: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60" w:type="dxa"/>
            <w:vAlign w:val="bottom"/>
          </w:tcPr>
          <w:p>
            <w:pPr>
              <w:ind w:left="7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February 2025</w:t>
            </w:r>
          </w:p>
        </w:tc>
      </w:tr>
      <w:tr>
        <w:trPr>
          <w:trHeight w:val="144"/>
        </w:trPr>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Bridge Round</w:t>
            </w:r>
          </w:p>
        </w:tc>
      </w:tr>
      <w:tr>
        <w:trPr>
          <w:trHeight w:val="168"/>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Offering</w:t>
            </w:r>
          </w:p>
        </w:tc>
      </w:tr>
      <w:tr>
        <w:trPr>
          <w:trHeight w:val="202"/>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40" w:type="dxa"/>
            <w:vAlign w:val="bottom"/>
            <w:tcBorders>
              <w:top w:val="single" w:sz="8" w:color="CCEEFF"/>
            </w:tcBorders>
            <w:shd w:val="clear" w:color="auto" w:fill="CCEEFF"/>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Exercise (Strike)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40" w:type="dxa"/>
            <w:vAlign w:val="bottom"/>
          </w:tcPr>
          <w:p>
            <w:pPr>
              <w:spacing w:after="0"/>
              <w:rPr>
                <w:sz w:val="18"/>
                <w:szCs w:val="18"/>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maturity (years)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shd w:val="clear" w:color="auto" w:fill="CCEEFF"/>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Annualized risk-free rate</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51.3 %</w:t>
            </w:r>
          </w:p>
        </w:tc>
      </w:tr>
    </w:tbl>
    <w:p>
      <w:pPr>
        <w:spacing w:after="0" w:line="399" w:lineRule="exact"/>
        <w:rPr>
          <w:sz w:val="20"/>
          <w:szCs w:val="20"/>
          <w:color w:val="auto"/>
        </w:rPr>
      </w:pPr>
    </w:p>
    <w:p>
      <w:pPr>
        <w:ind w:left="40" w:right="99"/>
        <w:spacing w:after="0" w:line="269" w:lineRule="auto"/>
        <w:rPr>
          <w:sz w:val="20"/>
          <w:szCs w:val="20"/>
          <w:color w:val="auto"/>
        </w:rPr>
      </w:pPr>
      <w:r>
        <w:rPr>
          <w:rFonts w:ascii="Times New Roman" w:cs="Times New Roman" w:eastAsia="Times New Roman" w:hAnsi="Times New Roman"/>
          <w:sz w:val="17"/>
          <w:szCs w:val="17"/>
          <w:color w:val="auto"/>
        </w:rPr>
        <w:t>Each convertible note that was outstanding immediately prior to the Effective Time of the close was cancelled and automatically converted pursuant to its terms, and the holder thereof became entitled to receive, a number of shares of common stock equal to (A) the outstanding amount of such convertible note, including any accrued and unpaid interest, divided by (B) $7.91 (seventy-five percent (75%) of the redemption price).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Rollforward of Convertible Notes and Convertible Notes-Related Party</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Convertible</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Notes – Related</w:t>
            </w:r>
          </w:p>
        </w:tc>
        <w:tc>
          <w:tcPr>
            <w:tcW w:w="0" w:type="dxa"/>
            <w:vAlign w:val="bottom"/>
          </w:tcPr>
          <w:p>
            <w:pPr>
              <w:spacing w:after="0"/>
              <w:rPr>
                <w:sz w:val="1"/>
                <w:szCs w:val="1"/>
                <w:color w:val="auto"/>
              </w:rPr>
            </w:pPr>
          </w:p>
        </w:tc>
      </w:tr>
      <w:tr>
        <w:trPr>
          <w:trHeight w:val="168"/>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Party</w:t>
            </w:r>
          </w:p>
        </w:tc>
        <w:tc>
          <w:tcPr>
            <w:tcW w:w="0" w:type="dxa"/>
            <w:vAlign w:val="bottom"/>
          </w:tcPr>
          <w:p>
            <w:pPr>
              <w:spacing w:after="0"/>
              <w:rPr>
                <w:sz w:val="1"/>
                <w:szCs w:val="1"/>
                <w:color w:val="auto"/>
              </w:rPr>
            </w:pPr>
          </w:p>
        </w:tc>
      </w:tr>
      <w:tr>
        <w:trPr>
          <w:trHeight w:val="202"/>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7,918,528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Bridge Round Offering proceeds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6,563,000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1,183,289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Recognition of debt discount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(2,173,509)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(369,323)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586,847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13,708,832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2,371,994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February 2025 Offering proceeds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9,335,000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Recognition of debt discount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(2,323,073)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1,698,368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convertible notes to common shares, exclusive of accrued interest converted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(22,419,127)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(4,190,152)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 Related Party Balances and Transactions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Company’s related party transactions for the year: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4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Professional fees and expenses paid to companies controlled by officers included in general</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administrative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249,323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Research and development expenses paid to companies controlled by officers included in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due to related parties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40" w:right="199"/>
        <w:spacing w:after="0" w:line="295" w:lineRule="auto"/>
        <w:rPr>
          <w:sz w:val="20"/>
          <w:szCs w:val="20"/>
          <w:color w:val="auto"/>
        </w:rPr>
      </w:pPr>
      <w:r>
        <w:rPr>
          <w:rFonts w:ascii="Times New Roman" w:cs="Times New Roman" w:eastAsia="Times New Roman" w:hAnsi="Times New Roman"/>
          <w:sz w:val="17"/>
          <w:szCs w:val="17"/>
          <w:color w:val="auto"/>
        </w:rPr>
        <w:t>These transactions are in the normal course of operations and are measured at fair value, which is the amount of consideration established and agreed to by the related parties.</w:t>
      </w:r>
    </w:p>
    <w:p>
      <w:pPr>
        <w:spacing w:after="0" w:line="146" w:lineRule="exact"/>
        <w:rPr>
          <w:sz w:val="20"/>
          <w:szCs w:val="20"/>
          <w:color w:val="auto"/>
        </w:rPr>
      </w:pPr>
    </w:p>
    <w:p>
      <w:pPr>
        <w:jc w:val="both"/>
        <w:ind w:left="40" w:right="199"/>
        <w:spacing w:after="0" w:line="275" w:lineRule="auto"/>
        <w:rPr>
          <w:sz w:val="20"/>
          <w:szCs w:val="20"/>
          <w:color w:val="auto"/>
        </w:rPr>
      </w:pPr>
      <w:r>
        <w:rPr>
          <w:rFonts w:ascii="Times New Roman" w:cs="Times New Roman" w:eastAsia="Times New Roman" w:hAnsi="Times New Roman"/>
          <w:sz w:val="17"/>
          <w:szCs w:val="17"/>
          <w:color w:val="auto"/>
        </w:rPr>
        <w:t>During the year ended December 31, 2024, the Company issued 2,818,520 shares of Common Stock to SWH Capital LLC, an entity controlled and owned by the Chief Executive Officer of the Company, as consideration for all of the shares of common stock of TEUSA owned by SWH.</w:t>
      </w:r>
    </w:p>
    <w:p>
      <w:pPr>
        <w:spacing w:after="0" w:line="163" w:lineRule="exact"/>
        <w:rPr>
          <w:sz w:val="20"/>
          <w:szCs w:val="20"/>
          <w:color w:val="auto"/>
        </w:rPr>
      </w:pPr>
    </w:p>
    <w:p>
      <w:pPr>
        <w:ind w:left="40" w:right="79"/>
        <w:spacing w:after="0" w:line="295" w:lineRule="auto"/>
        <w:rPr>
          <w:sz w:val="20"/>
          <w:szCs w:val="20"/>
          <w:color w:val="auto"/>
        </w:rPr>
      </w:pPr>
      <w:r>
        <w:rPr>
          <w:rFonts w:ascii="Times New Roman" w:cs="Times New Roman" w:eastAsia="Times New Roman" w:hAnsi="Times New Roman"/>
          <w:sz w:val="17"/>
          <w:szCs w:val="17"/>
          <w:color w:val="auto"/>
        </w:rPr>
        <w:t>In December 2024, the Company received $100,000 in advance from a related party as an advance of the February 2025 Bridge Round Offering.</w:t>
      </w:r>
    </w:p>
    <w:p>
      <w:pPr>
        <w:spacing w:after="0" w:line="146" w:lineRule="exact"/>
        <w:rPr>
          <w:sz w:val="20"/>
          <w:szCs w:val="20"/>
          <w:color w:val="auto"/>
        </w:rPr>
      </w:pPr>
    </w:p>
    <w:p>
      <w:pPr>
        <w:ind w:left="40" w:right="659"/>
        <w:spacing w:after="0" w:line="275" w:lineRule="auto"/>
        <w:rPr>
          <w:sz w:val="20"/>
          <w:szCs w:val="20"/>
          <w:color w:val="auto"/>
        </w:rPr>
      </w:pPr>
      <w:r>
        <w:rPr>
          <w:rFonts w:ascii="Times New Roman" w:cs="Times New Roman" w:eastAsia="Times New Roman" w:hAnsi="Times New Roman"/>
          <w:sz w:val="17"/>
          <w:szCs w:val="17"/>
          <w:color w:val="auto"/>
        </w:rPr>
        <w:t>The Company had issued convertible notes to certain related parties, which included accrued interest prior to automatic conversion to common shares following the SPAC merger, refer Note 3 and 11 for further detail. All convertible notes converted as of December 31, 2025.</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 Stockholders’ Equity (Deficit)</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85" w:lineRule="exact"/>
        <w:rPr>
          <w:sz w:val="20"/>
          <w:szCs w:val="20"/>
          <w:color w:val="auto"/>
        </w:rPr>
      </w:pPr>
    </w:p>
    <w:p>
      <w:pPr>
        <w:ind w:left="40" w:right="99"/>
        <w:spacing w:after="0" w:line="275" w:lineRule="auto"/>
        <w:rPr>
          <w:sz w:val="20"/>
          <w:szCs w:val="20"/>
          <w:color w:val="auto"/>
        </w:rPr>
      </w:pPr>
      <w:r>
        <w:rPr>
          <w:rFonts w:ascii="Times New Roman" w:cs="Times New Roman" w:eastAsia="Times New Roman" w:hAnsi="Times New Roman"/>
          <w:sz w:val="17"/>
          <w:szCs w:val="17"/>
          <w:color w:val="auto"/>
        </w:rPr>
        <w:t>The Company is authorized to issue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7"/>
          <w:szCs w:val="17"/>
          <w:color w:val="auto"/>
        </w:rPr>
        <w:t>No shares of preferred stock were issued or outstanding as of December 31, 2025 or 2024 on a post-Reverse Recapitalization basis. Immediately prior to the Reverse Recapitalization described in Note 3, the Company had 6,154,342 shares of Series A Preferred Stock outstanding as of December 31, 2024 and issued an additional 2,812,708 shares of Series A-1 Preferred Stock during 2025. In connection with the Reverse Recapitalization, all 8,967,050 outstanding shares of preferred stock were converted into common stock.</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85"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The Company’s Board of Directors has authorized 500,000,000 shares of common stock, par value $0.0001. Holders of common stock are entitled to one vote per share. Subject to the rights of any series of preferred stock that may be outstanding, holders of common stock are entitled to receive dividends when, as and if declared by the Board of Directors out of funds legally available. In the event of liquidation, dissolution or winding up, holders of common stock are entitled to share ratably in the Company’s remaining assets after the satisfaction of liabilities and subject to any preferential rights of preferred stock. par value of Common Stock. As of December 31, 2025 and 2024, the Company has 81,771,422 and 39,159,901 shares of common stock issued and outstanding, respectively. In connection with the Reverse Recapitalization, outstanding share amounts as of December 31, 2024 have been retrospectively restated to give effect to the Business Combination.</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 Warrants</w:t>
      </w:r>
    </w:p>
    <w:p>
      <w:pPr>
        <w:spacing w:after="0" w:line="185" w:lineRule="exact"/>
        <w:rPr>
          <w:sz w:val="20"/>
          <w:szCs w:val="20"/>
          <w:color w:val="auto"/>
        </w:rPr>
      </w:pPr>
    </w:p>
    <w:p>
      <w:pPr>
        <w:ind w:left="40" w:right="499"/>
        <w:spacing w:after="0" w:line="295" w:lineRule="auto"/>
        <w:rPr>
          <w:sz w:val="20"/>
          <w:szCs w:val="20"/>
          <w:color w:val="auto"/>
        </w:rPr>
      </w:pPr>
      <w:r>
        <w:rPr>
          <w:rFonts w:ascii="Times New Roman" w:cs="Times New Roman" w:eastAsia="Times New Roman" w:hAnsi="Times New Roman"/>
          <w:sz w:val="17"/>
          <w:szCs w:val="17"/>
          <w:color w:val="auto"/>
        </w:rPr>
        <w:t>As of December 31, 2025, the Company had 30,276,119 of outstanding warrants to purchase common stock at an average exercise price of $8.24 per share.</w:t>
      </w:r>
    </w:p>
    <w:p>
      <w:pPr>
        <w:spacing w:after="0" w:line="107" w:lineRule="exact"/>
        <w:rPr>
          <w:sz w:val="20"/>
          <w:szCs w:val="20"/>
          <w:color w:val="auto"/>
        </w:rPr>
      </w:pPr>
    </w:p>
    <w:p>
      <w:pPr>
        <w:ind w:left="40" w:right="579"/>
        <w:spacing w:after="0" w:line="295" w:lineRule="auto"/>
        <w:rPr>
          <w:sz w:val="20"/>
          <w:szCs w:val="20"/>
          <w:color w:val="auto"/>
        </w:rPr>
      </w:pPr>
      <w:r>
        <w:rPr>
          <w:rFonts w:ascii="Times New Roman" w:cs="Times New Roman" w:eastAsia="Times New Roman" w:hAnsi="Times New Roman"/>
          <w:sz w:val="17"/>
          <w:szCs w:val="17"/>
          <w:color w:val="auto"/>
        </w:rPr>
        <w:t>As of December 31, 2024, the Company had 7,759,535 of outstanding warrants to purchase common stock at an average exercise price of $2.24 per share.</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Call Options</w:t>
      </w:r>
    </w:p>
    <w:p>
      <w:pPr>
        <w:spacing w:after="0" w:line="185"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7"/>
          <w:szCs w:val="17"/>
          <w:color w:val="auto"/>
        </w:rPr>
        <w:t>Pursuant to various call option agreements entered into with certain stockholders prior to the Company’s April 5, 2024 redomicile and corporate reorganization and the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as of December 31, 2025.</w:t>
      </w:r>
    </w:p>
    <w:p>
      <w:pPr>
        <w:spacing w:after="0" w:line="138" w:lineRule="exact"/>
        <w:rPr>
          <w:sz w:val="20"/>
          <w:szCs w:val="20"/>
          <w:color w:val="auto"/>
        </w:rPr>
      </w:pPr>
    </w:p>
    <w:p>
      <w:pPr>
        <w:ind w:left="40" w:right="79"/>
        <w:spacing w:after="0" w:line="275" w:lineRule="auto"/>
        <w:rPr>
          <w:sz w:val="20"/>
          <w:szCs w:val="20"/>
          <w:color w:val="auto"/>
        </w:rPr>
      </w:pPr>
      <w:r>
        <w:rPr>
          <w:rFonts w:ascii="Times New Roman" w:cs="Times New Roman" w:eastAsia="Times New Roman" w:hAnsi="Times New Roman"/>
          <w:sz w:val="17"/>
          <w:szCs w:val="17"/>
          <w:color w:val="auto"/>
        </w:rPr>
        <w:t>The call option agreements continue to be valid and enforceable following the redomicile and corporate reorganization and consummation of the business combination. These instruments are presented within stockholders’ equity (deficit) at the original consideration price per share and are not remeasured unless exercised.</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Exchangeable Shares</w:t>
      </w:r>
    </w:p>
    <w:p>
      <w:pPr>
        <w:spacing w:after="0" w:line="185"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As of both December 31, 2025 and 2024, the Company had 24,011,017 exchangeable shares outstanding on a post-Reverse Recapitalization basis. Immediately prior to the Reverse Recapitalization, the December 31, 2024 balance consisted of 277,158 preferred exchangeable shares and 23,733,859 common exchangeable shares. These shares are legally issued by Terrestrial Energy Canada (Exchange) Inc., a wholly-owned subsidiary of the Company (“ExchangeCo”). In connection with the closing of the Business Combination, ExchangeCo exchangeable preferred shares and exchangeable common shares that existed prior to the Business Combination were recapitalized into a single class of exchangeable shares as of the Business Combination.</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7"/>
          <w:szCs w:val="17"/>
          <w:color w:val="auto"/>
        </w:rPr>
        <w:t>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spacing w:after="0" w:line="131"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7"/>
          <w:szCs w:val="17"/>
          <w:color w:val="auto"/>
        </w:rPr>
        <w:t>The Company has entered into an amended and restated support and exchange agreement with the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No exchange of shares occurred during the years ended December 31, 2025 or 2024.</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 Net Loss Per Share of Common Share</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Prior to the Merger, the Company used the two-class method required for participating securities. The two-class</w:t>
      </w:r>
    </w:p>
    <w:p>
      <w:pPr>
        <w:spacing w:after="0" w:line="32"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7"/>
          <w:szCs w:val="17"/>
          <w:color w:val="auto"/>
        </w:rPr>
        <w:t>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December 31, 2025, these shares have not been included in the calculation of basic or diluted net loss per share.</w:t>
      </w:r>
    </w:p>
    <w:p>
      <w:pPr>
        <w:spacing w:after="0" w:line="177"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168"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dilutive net loss per share:</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0" w:type="dxa"/>
            <w:vAlign w:val="bottom"/>
          </w:tcPr>
          <w:p>
            <w:pPr>
              <w:spacing w:after="0"/>
              <w:rPr>
                <w:sz w:val="1"/>
                <w:szCs w:val="1"/>
                <w:color w:val="auto"/>
              </w:rPr>
            </w:pPr>
          </w:p>
        </w:tc>
      </w:tr>
      <w:tr>
        <w:trPr>
          <w:trHeight w:val="168"/>
        </w:trPr>
        <w:tc>
          <w:tcPr>
            <w:tcW w:w="6520" w:type="dxa"/>
            <w:vAlign w:val="bottom"/>
            <w:vMerge w:val="restart"/>
          </w:tcPr>
          <w:p>
            <w:pPr>
              <w:ind w:left="6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3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7"/>
        </w:trPr>
        <w:tc>
          <w:tcPr>
            <w:tcW w:w="65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42"/>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2"/>
          </w:tcPr>
          <w:p>
            <w:pPr>
              <w:jc w:val="right"/>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1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(28,016,641)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(11,485,410)</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71,646,985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60,414,175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00"/>
              <w:spacing w:after="0"/>
              <w:rPr>
                <w:sz w:val="20"/>
                <w:szCs w:val="20"/>
                <w:color w:val="auto"/>
              </w:rPr>
            </w:pPr>
            <w:r>
              <w:rPr>
                <w:rFonts w:ascii="Times New Roman" w:cs="Times New Roman" w:eastAsia="Times New Roman" w:hAnsi="Times New Roman"/>
                <w:sz w:val="17"/>
                <w:szCs w:val="17"/>
                <w:color w:val="auto"/>
              </w:rPr>
              <w:t>F-27</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6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9"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259"/>
        <w:spacing w:after="0" w:line="275" w:lineRule="auto"/>
        <w:rPr>
          <w:sz w:val="20"/>
          <w:szCs w:val="20"/>
          <w:color w:val="auto"/>
        </w:rPr>
      </w:pPr>
      <w:r>
        <w:rPr>
          <w:rFonts w:ascii="Times New Roman" w:cs="Times New Roman" w:eastAsia="Times New Roman" w:hAnsi="Times New Roman"/>
          <w:sz w:val="17"/>
          <w:szCs w:val="17"/>
          <w:color w:val="auto"/>
        </w:rPr>
        <w:t>The weighted-average shares outstanding above include both common shares and exchangeable shares outstanding at December 31, 2025 and 2024 as these shares are exchangeable one-for-one basis into the Company’s common shares and are therefore economically equivalent to common shares outstanding.</w:t>
      </w:r>
    </w:p>
    <w:p>
      <w:pPr>
        <w:spacing w:after="0" w:line="163"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7"/>
          <w:szCs w:val="17"/>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68"/>
        </w:trPr>
        <w:tc>
          <w:tcPr>
            <w:tcW w:w="6540" w:type="dxa"/>
            <w:vAlign w:val="bottom"/>
            <w:vMerge w:val="restart"/>
          </w:tcPr>
          <w:p>
            <w:pPr>
              <w:ind w:left="642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654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auto"/>
            </w:tcBorders>
          </w:tcPr>
          <w:p>
            <w:pPr>
              <w:jc w:val="right"/>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336"/>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17,691,184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18,951,539</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1,232,794</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(public and private)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30,276,119</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7,759,535</w:t>
            </w:r>
          </w:p>
        </w:tc>
        <w:tc>
          <w:tcPr>
            <w:tcW w:w="0" w:type="dxa"/>
            <w:vAlign w:val="bottom"/>
          </w:tcPr>
          <w:p>
            <w:pPr>
              <w:spacing w:after="0"/>
              <w:rPr>
                <w:sz w:val="1"/>
                <w:szCs w:val="1"/>
                <w:color w:val="auto"/>
              </w:rPr>
            </w:pPr>
          </w:p>
        </w:tc>
      </w:tr>
      <w:tr>
        <w:trPr>
          <w:trHeight w:val="202"/>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49,200,097</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26,711,074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15. Stock-Based Compensation</w:t>
      </w:r>
    </w:p>
    <w:p>
      <w:pPr>
        <w:spacing w:after="0" w:line="224"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7"/>
          <w:szCs w:val="17"/>
          <w:color w:val="auto"/>
        </w:rPr>
        <w:t>In 2014, the Company adopted the amended and restated Terrestrial Energy Inc. 2014 Stock Options Plan A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Business Combination (the “Current Plan”). As of December 31, 2025, the Current Plan authorizes the Company to award equity awards resulting in the issuance of up to 38,741,269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Current Plan is administered by the Board of Directors. The Board determines the type, number, vesting requirements and other features and conditions of such awards. Generally, stock options granted from the Current Plan have a contractual term of twenty years from the date of the grant and vest over one to three years.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 option transactions and the number of stock options outstanding are summarized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00" w:type="dxa"/>
            <w:vAlign w:val="bottom"/>
            <w:gridSpan w:val="5"/>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2"/>
        </w:trPr>
        <w:tc>
          <w:tcPr>
            <w:tcW w:w="48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38"/>
              <w:spacing w:after="0" w:line="113"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78"/>
              <w:spacing w:after="0" w:line="113"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4920" w:type="dxa"/>
            <w:vAlign w:val="bottom"/>
            <w:gridSpan w:val="2"/>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4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900" w:type="dxa"/>
            <w:vAlign w:val="bottom"/>
            <w:gridSpan w:val="2"/>
            <w:vMerge w:val="continue"/>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beginning of year</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19,018,593</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18,249,971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9"/>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1,167,819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(2,428,174)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end of year</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17,691,184</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19,018,593</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9"/>
        </w:trPr>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Options not vested</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(2,339,259)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(2,154,905)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2"/>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Exercisable at year end</w:t>
            </w: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15,351,925</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16,863,688</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0" w:right="359"/>
        <w:spacing w:after="0" w:line="269" w:lineRule="auto"/>
        <w:rPr>
          <w:sz w:val="20"/>
          <w:szCs w:val="20"/>
          <w:color w:val="auto"/>
        </w:rPr>
      </w:pPr>
      <w:r>
        <w:rPr>
          <w:rFonts w:ascii="Times New Roman" w:cs="Times New Roman" w:eastAsia="Times New Roman" w:hAnsi="Times New Roman"/>
          <w:sz w:val="17"/>
          <w:szCs w:val="17"/>
          <w:color w:val="auto"/>
        </w:rPr>
        <w:t>The Company recorded stock-based compensation expense for options of $1,323,108 and $670,243 for the years ended December 31, 2025 and 2024, respectively. As of December 31, 2025, total compensation expense related to awards not yet recognized (except those with performance conditions that are not yet probable) was $2.0 million which is expected to be recognized over a weighted average period of 1.7 years.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299"/>
        <w:spacing w:after="0" w:line="295" w:lineRule="auto"/>
        <w:rPr>
          <w:sz w:val="20"/>
          <w:szCs w:val="20"/>
          <w:color w:val="auto"/>
        </w:rPr>
      </w:pPr>
      <w:r>
        <w:rPr>
          <w:rFonts w:ascii="Times New Roman" w:cs="Times New Roman" w:eastAsia="Times New Roman" w:hAnsi="Times New Roman"/>
          <w:sz w:val="17"/>
          <w:szCs w:val="17"/>
          <w:color w:val="auto"/>
        </w:rPr>
        <w:t>The Company used the Black-Scholes option-pricing model to estimate the fair value of the options granted at the grant date using the following data and assumptions: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r>
      <w:tr>
        <w:trPr>
          <w:trHeight w:val="202"/>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3.87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4.83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3.99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shd w:val="clear" w:color="auto" w:fill="CCEEFF"/>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of options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 Years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 Years</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Annualized volatility</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86.0 %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63.0 %</w:t>
            </w:r>
          </w:p>
        </w:tc>
      </w:tr>
    </w:tbl>
    <w:p>
      <w:pPr>
        <w:spacing w:after="0" w:line="190"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7"/>
          <w:szCs w:val="17"/>
          <w:color w:val="auto"/>
        </w:rPr>
        <w:t>As there is insufficient historical share price data of the Company from which to estimate future share price volatility, the Company has estimated expected share price volatility based on the historical share price volatility of comparable entities. The expected life of the share options is based on the expectation that investors will exercise their rights as certain Company milestones are met as well as review of comparable companies. The risk-free interest rate is based on a treasury instrument whose term is consistent with the expected term of the stock options. The Company has not paid and does not anticipate paying cash dividends on shares of common stock; therefore, the expected dividend yield is assumed to be zero.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Restricted stock unit transactions and the number of RSUs outstanding are summarized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480" w:type="dxa"/>
            <w:vAlign w:val="bottom"/>
            <w:tcBorders>
              <w:bottom w:val="single" w:sz="8" w:color="auto"/>
            </w:tcBorders>
          </w:tcPr>
          <w:p>
            <w:pPr>
              <w:spacing w:after="0"/>
              <w:rPr>
                <w:sz w:val="19"/>
                <w:szCs w:val="19"/>
                <w:color w:val="auto"/>
              </w:rPr>
            </w:pPr>
          </w:p>
        </w:tc>
      </w:tr>
      <w:tr>
        <w:trPr>
          <w:trHeight w:val="182"/>
        </w:trPr>
        <w:tc>
          <w:tcPr>
            <w:tcW w:w="4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480" w:type="dxa"/>
            <w:vAlign w:val="bottom"/>
          </w:tcPr>
          <w:p>
            <w:pPr>
              <w:spacing w:after="0"/>
              <w:rPr>
                <w:sz w:val="15"/>
                <w:szCs w:val="15"/>
                <w:color w:val="auto"/>
              </w:rPr>
            </w:pPr>
          </w:p>
        </w:tc>
      </w:tr>
      <w:tr>
        <w:trPr>
          <w:trHeight w:val="209"/>
        </w:trPr>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480" w:type="dxa"/>
            <w:vAlign w:val="bottom"/>
          </w:tcPr>
          <w:p>
            <w:pPr>
              <w:spacing w:after="0"/>
              <w:rPr>
                <w:sz w:val="18"/>
                <w:szCs w:val="18"/>
                <w:color w:val="auto"/>
              </w:rPr>
            </w:pPr>
          </w:p>
        </w:tc>
      </w:tr>
      <w:tr>
        <w:trPr>
          <w:trHeight w:val="229"/>
        </w:trPr>
        <w:tc>
          <w:tcPr>
            <w:tcW w:w="4100" w:type="dxa"/>
            <w:vAlign w:val="bottom"/>
          </w:tcPr>
          <w:p>
            <w:pPr>
              <w:spacing w:after="0"/>
              <w:rPr>
                <w:sz w:val="19"/>
                <w:szCs w:val="19"/>
                <w:color w:val="auto"/>
              </w:rPr>
            </w:pPr>
          </w:p>
        </w:tc>
        <w:tc>
          <w:tcPr>
            <w:tcW w:w="2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Number</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​​​Grant-Date Fair Value</w:t>
            </w:r>
          </w:p>
        </w:tc>
      </w:tr>
      <w:tr>
        <w:trPr>
          <w:trHeight w:val="202"/>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beginning of year</w:t>
            </w:r>
          </w:p>
        </w:tc>
        <w:tc>
          <w:tcPr>
            <w:tcW w:w="20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1,232,794</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20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Forfeited/Expired</w:t>
            </w:r>
          </w:p>
        </w:tc>
        <w:tc>
          <w:tcPr>
            <w:tcW w:w="20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end of year</w:t>
            </w:r>
          </w:p>
        </w:tc>
        <w:tc>
          <w:tcPr>
            <w:tcW w:w="20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1,232,794</w:t>
            </w:r>
          </w:p>
        </w:tc>
        <w:tc>
          <w:tcPr>
            <w:tcW w:w="1500" w:type="dxa"/>
            <w:vAlign w:val="bottom"/>
            <w:gridSpan w:val="2"/>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bl>
    <w:p>
      <w:pPr>
        <w:spacing w:after="0" w:line="204" w:lineRule="exact"/>
        <w:rPr>
          <w:sz w:val="20"/>
          <w:szCs w:val="20"/>
          <w:color w:val="auto"/>
        </w:rPr>
      </w:pPr>
    </w:p>
    <w:p>
      <w:pPr>
        <w:ind w:left="40" w:right="779"/>
        <w:spacing w:after="0" w:line="295" w:lineRule="auto"/>
        <w:rPr>
          <w:sz w:val="20"/>
          <w:szCs w:val="20"/>
          <w:color w:val="auto"/>
        </w:rPr>
      </w:pPr>
      <w:r>
        <w:rPr>
          <w:rFonts w:ascii="Times New Roman" w:cs="Times New Roman" w:eastAsia="Times New Roman" w:hAnsi="Times New Roman"/>
          <w:sz w:val="17"/>
          <w:szCs w:val="17"/>
          <w:color w:val="auto"/>
        </w:rPr>
        <w:t>The Company recorded stock-based compensation expense for RSU awards of $1,780,594 and $0 for the years ended December 31, 2025 and 2024, respectively</w:t>
      </w:r>
    </w:p>
    <w:p>
      <w:pPr>
        <w:spacing w:after="0" w:line="146" w:lineRule="exact"/>
        <w:rPr>
          <w:sz w:val="20"/>
          <w:szCs w:val="20"/>
          <w:color w:val="auto"/>
        </w:rPr>
      </w:pPr>
    </w:p>
    <w:p>
      <w:pPr>
        <w:ind w:left="40" w:right="179"/>
        <w:spacing w:after="0" w:line="295" w:lineRule="auto"/>
        <w:rPr>
          <w:sz w:val="20"/>
          <w:szCs w:val="20"/>
          <w:color w:val="auto"/>
        </w:rPr>
      </w:pPr>
      <w:r>
        <w:rPr>
          <w:rFonts w:ascii="Times New Roman" w:cs="Times New Roman" w:eastAsia="Times New Roman" w:hAnsi="Times New Roman"/>
          <w:sz w:val="17"/>
          <w:szCs w:val="17"/>
          <w:color w:val="auto"/>
        </w:rPr>
        <w:t>The total unrecognized RSU expense as of December 31, 2025 was $11,258,886 with a weighted-average period over which it is to be recognized of 1.4 years.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income tax expense (benefit) for 2025 and 2024 are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276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7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2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income tax</w:t>
            </w:r>
          </w:p>
        </w:tc>
        <w:tc>
          <w:tcPr>
            <w:tcW w:w="2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2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deferred tax</w:t>
            </w:r>
          </w:p>
        </w:tc>
        <w:tc>
          <w:tcPr>
            <w:tcW w:w="2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Total income tax expense</w:t>
            </w:r>
          </w:p>
        </w:tc>
        <w:tc>
          <w:tcPr>
            <w:tcW w:w="2540" w:type="dxa"/>
            <w:vAlign w:val="bottom"/>
          </w:tcPr>
          <w:p>
            <w:pPr>
              <w:spacing w:after="0"/>
              <w:rPr>
                <w:sz w:val="17"/>
                <w:szCs w:val="17"/>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between domestic and international earnings (loss) before income taxes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24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r>
      <w:tr>
        <w:trPr>
          <w:trHeight w:val="202"/>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2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7"/>
              </w:rPr>
              <w:t>(17,127,042)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(1,374,250)</w:t>
            </w:r>
          </w:p>
        </w:tc>
        <w:tc>
          <w:tcPr>
            <w:tcW w:w="20" w:type="dxa"/>
            <w:vAlign w:val="bottom"/>
          </w:tcPr>
          <w:p>
            <w:pPr>
              <w:spacing w:after="0"/>
              <w:rPr>
                <w:sz w:val="17"/>
                <w:szCs w:val="17"/>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(10,871,649)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(10,090,195)</w:t>
            </w:r>
          </w:p>
        </w:tc>
        <w:tc>
          <w:tcPr>
            <w:tcW w:w="20" w:type="dxa"/>
            <w:vAlign w:val="bottom"/>
          </w:tcPr>
          <w:p>
            <w:pPr>
              <w:spacing w:after="0"/>
              <w:rPr>
                <w:sz w:val="18"/>
                <w:szCs w:val="18"/>
                <w:color w:val="auto"/>
              </w:rPr>
            </w:pPr>
          </w:p>
        </w:tc>
      </w:tr>
      <w:tr>
        <w:trPr>
          <w:trHeight w:val="202"/>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taxes</w:t>
            </w:r>
          </w:p>
        </w:tc>
        <w:tc>
          <w:tcPr>
            <w:tcW w:w="2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7"/>
              </w:rPr>
              <w:t>(27,998,691)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(11,464,445)</w:t>
            </w:r>
          </w:p>
        </w:tc>
        <w:tc>
          <w:tcPr>
            <w:tcW w:w="2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between the effective income tax rate and the federal statutory income tax rate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tax at statutory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(5,879,725)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(2,407,533)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1,317,897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676,297</w:t>
            </w: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(5.9)</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to provision adjustments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1,392,136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(65,996)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60" w:type="dxa"/>
            <w:vAlign w:val="bottom"/>
            <w:shd w:val="clear" w:color="auto" w:fill="CCEEFF"/>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Difference in tax rates</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(539,994)</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(586,767)</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60" w:type="dxa"/>
            <w:vAlign w:val="bottom"/>
          </w:tcPr>
          <w:p>
            <w:pPr>
              <w:spacing w:after="0"/>
              <w:rPr>
                <w:sz w:val="18"/>
                <w:szCs w:val="18"/>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Impact of Canadian dollar exchange rate changes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(1,013,116)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1,560,416</w:t>
            </w:r>
          </w:p>
        </w:tc>
        <w:tc>
          <w:tcPr>
            <w:tcW w:w="6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(13.6)</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4,740,752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(16.9)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844,548</w:t>
            </w: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(7.4)</w:t>
            </w:r>
          </w:p>
        </w:tc>
      </w:tr>
      <w:tr>
        <w:trPr>
          <w:trHeight w:val="202"/>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tax 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20,965</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Deferred Income Tax</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significant components of the deferred tax assets and liabilities consisted of the following:</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060" w:type="dxa"/>
            <w:vAlign w:val="bottom"/>
          </w:tcPr>
          <w:p>
            <w:pPr>
              <w:spacing w:after="0"/>
              <w:rPr>
                <w:sz w:val="14"/>
                <w:szCs w:val="14"/>
                <w:color w:val="auto"/>
              </w:rPr>
            </w:pPr>
          </w:p>
        </w:tc>
        <w:tc>
          <w:tcPr>
            <w:tcW w:w="16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R&amp;D expenses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3,485,406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17,547,661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Tax credit carryforwards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2,445,772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intangible tax pool section 174</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1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25,195,513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20,228,704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(24,640,726)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(19,821,008)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407,696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(554,787)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(1,073,649)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all positive and negative evidence to determine whether it is more likely than not that some portion of all of the deferred tax assets will not be realized. The ultimate realization of deferred tax assets is dependent upon the generation of future taxable income during the period in which those temporary differences become deductible. Due to the uncertainty of the Company’s ability to realize the benefit of the deferred tax assets, primarily related to the history of cumulative operating losses, the net deferred tax assets are offset by a valuation allowance at December 31, 2025 and 2024. As of December 31, 2025, the Company recorded a valuation allowance of $24,640,726 compared to $19,821,008 as of December 31, 2024.</w:t>
      </w:r>
    </w:p>
    <w:p>
      <w:pPr>
        <w:spacing w:after="0" w:line="177" w:lineRule="exact"/>
        <w:rPr>
          <w:sz w:val="20"/>
          <w:szCs w:val="20"/>
          <w:color w:val="auto"/>
        </w:rPr>
      </w:pPr>
    </w:p>
    <w:p>
      <w:pPr>
        <w:ind w:left="40" w:right="299"/>
        <w:spacing w:after="0" w:line="275" w:lineRule="auto"/>
        <w:rPr>
          <w:sz w:val="20"/>
          <w:szCs w:val="20"/>
          <w:color w:val="auto"/>
        </w:rPr>
      </w:pPr>
      <w:r>
        <w:rPr>
          <w:rFonts w:ascii="Times New Roman" w:cs="Times New Roman" w:eastAsia="Times New Roman" w:hAnsi="Times New Roman"/>
          <w:sz w:val="17"/>
          <w:szCs w:val="17"/>
          <w:color w:val="auto"/>
        </w:rPr>
        <w:t>As of December 31, 2025 and 2024, the Company had no unrecognized tax benefits. The Company’s policy is to recognize interest and penalties related to income tax matters in income tax expense. As of both December 31, 2025 and December 31, 2024, the Company had no accrual for any for net interest and penalties.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As of December 31, 2025 and 2024, the Company had net operating loss carryforwards (“NOLs”) of $67,261,109 and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$50,927,528, respectively, comprised of $62,233,225 Canadian NOLs which have a 20-year expiration period and will begin to</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expire in 2035 and $5,027,884 U.S NOLs with indefinite carryforward period, Canadian federal tax credit carryforwards of</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$2,197,097 and $3,187,456, respectively, that have a 20-year expiration period and will begin to expire in 2039, Canadian state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tax credit carryforwards of $830,310 and $790,898, respectively, that have a 20-year expiration and will begin to expire in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2035, and foreign tax credit carryforwards of $0 and $7,136, respectively, that have a 20-year expiration period and will begin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expire in 2041.</w:t>
      </w:r>
    </w:p>
    <w:p>
      <w:pPr>
        <w:spacing w:after="0" w:line="204" w:lineRule="exact"/>
        <w:rPr>
          <w:sz w:val="20"/>
          <w:szCs w:val="20"/>
          <w:color w:val="auto"/>
        </w:rPr>
      </w:pPr>
    </w:p>
    <w:p>
      <w:pPr>
        <w:ind w:left="40" w:right="319"/>
        <w:spacing w:after="0" w:line="275" w:lineRule="auto"/>
        <w:rPr>
          <w:sz w:val="20"/>
          <w:szCs w:val="20"/>
          <w:color w:val="auto"/>
        </w:rPr>
      </w:pPr>
      <w:r>
        <w:rPr>
          <w:rFonts w:ascii="Times New Roman" w:cs="Times New Roman" w:eastAsia="Times New Roman" w:hAnsi="Times New Roman"/>
          <w:sz w:val="17"/>
          <w:szCs w:val="17"/>
          <w:color w:val="auto"/>
        </w:rPr>
        <w:t>The Company is subject to U.S. federal and state income tax, Canadian federal and provincial income tax, as well as various other foreign jurisdictions that impose an income tax. The years that remain subject to examination are primarily 2021 and later.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United States. The OBBBA includes significant tax law changes, including the permanent extension of certain provisions from the U.S. Tax Cuts and Jobs Act, modifications to the international tax framework, and the reinstatement of favorable business tax provisions. These include 100% bonus depreciation, immediate expensing of Section 174 domestic research and experimental expenditures, and revised limitations under Section 163(j) on the deductibility of business interest expense. The legislation has multiple effective dates, with certain provisions effective beginning in 2025, and others implemented through 2027. We evaluated the impact of the OBBBA and determined its provisions do not have a material impact on our overall tax liability both for the current year and in the succeeding years.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17. Segment Information</w:t>
      </w:r>
    </w:p>
    <w:p>
      <w:pPr>
        <w:spacing w:after="0" w:line="224" w:lineRule="exact"/>
        <w:rPr>
          <w:sz w:val="20"/>
          <w:szCs w:val="20"/>
          <w:color w:val="auto"/>
        </w:rPr>
      </w:pPr>
    </w:p>
    <w:p>
      <w:pPr>
        <w:ind w:left="40" w:right="259"/>
        <w:spacing w:after="0" w:line="266" w:lineRule="auto"/>
        <w:rPr>
          <w:sz w:val="20"/>
          <w:szCs w:val="20"/>
          <w:color w:val="auto"/>
        </w:rPr>
      </w:pPr>
      <w:r>
        <w:rPr>
          <w:rFonts w:ascii="Times New Roman" w:cs="Times New Roman" w:eastAsia="Times New Roman" w:hAnsi="Times New Roman"/>
          <w:sz w:val="17"/>
          <w:szCs w:val="17"/>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70"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7"/>
          <w:szCs w:val="17"/>
          <w:color w:val="auto"/>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68" w:lineRule="exact"/>
        <w:rPr>
          <w:sz w:val="20"/>
          <w:szCs w:val="20"/>
          <w:color w:val="auto"/>
        </w:rPr>
      </w:pPr>
    </w:p>
    <w:p>
      <w:pPr>
        <w:jc w:val="both"/>
        <w:ind w:left="40" w:right="79"/>
        <w:spacing w:after="0" w:line="269" w:lineRule="auto"/>
        <w:rPr>
          <w:sz w:val="20"/>
          <w:szCs w:val="20"/>
          <w:color w:val="auto"/>
        </w:rPr>
      </w:pPr>
      <w:r>
        <w:rPr>
          <w:rFonts w:ascii="Times New Roman" w:cs="Times New Roman" w:eastAsia="Times New Roman" w:hAnsi="Times New Roman"/>
          <w:sz w:val="17"/>
          <w:szCs w:val="17"/>
          <w:color w:val="auto"/>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0" w:type="dxa"/>
            <w:vAlign w:val="bottom"/>
          </w:tcPr>
          <w:p>
            <w:pPr>
              <w:spacing w:after="0"/>
              <w:rPr>
                <w:sz w:val="1"/>
                <w:szCs w:val="1"/>
                <w:color w:val="auto"/>
              </w:rPr>
            </w:pPr>
          </w:p>
        </w:tc>
      </w:tr>
      <w:tr>
        <w:trPr>
          <w:trHeight w:val="168"/>
        </w:trPr>
        <w:tc>
          <w:tcPr>
            <w:tcW w:w="6520" w:type="dxa"/>
            <w:vAlign w:val="bottom"/>
            <w:vMerge w:val="restart"/>
          </w:tcPr>
          <w:p>
            <w:pPr>
              <w:ind w:left="6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300" w:type="dxa"/>
            <w:vAlign w:val="bottom"/>
            <w:gridSpan w:val="6"/>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37"/>
        </w:trPr>
        <w:tc>
          <w:tcPr>
            <w:tcW w:w="65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38"/>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2"/>
          </w:tcPr>
          <w:p>
            <w:pPr>
              <w:jc w:val="right"/>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9,767,996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5,176,932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14,266,775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4,168,576</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significant non-cash items: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1,161,704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25,196,475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10,601,899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other (expense)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(2,802,216)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(17,950)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520" w:type="dxa"/>
            <w:vAlign w:val="bottom"/>
            <w:tcBorders>
              <w:top w:val="single" w:sz="8" w:color="CCEEFF"/>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(28,016,641)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(11,485,410)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7"/>
          <w:szCs w:val="17"/>
          <w:color w:val="auto"/>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geographic location of long-lived assets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right"/>
              <w:ind w:right="293"/>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3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1,231,273</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2,189,215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2,024,865</w:t>
            </w:r>
          </w:p>
        </w:tc>
        <w:tc>
          <w:tcPr>
            <w:tcW w:w="0" w:type="dxa"/>
            <w:vAlign w:val="bottom"/>
          </w:tcPr>
          <w:p>
            <w:pPr>
              <w:spacing w:after="0"/>
              <w:rPr>
                <w:sz w:val="1"/>
                <w:szCs w:val="1"/>
                <w:color w:val="auto"/>
              </w:rPr>
            </w:pPr>
          </w:p>
        </w:tc>
      </w:tr>
      <w:tr>
        <w:trPr>
          <w:trHeight w:val="202"/>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3,420,488</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2,039,718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Litigation and loss contingencies</w:t>
      </w:r>
    </w:p>
    <w:p>
      <w:pPr>
        <w:spacing w:after="0" w:line="224" w:lineRule="exact"/>
        <w:rPr>
          <w:sz w:val="20"/>
          <w:szCs w:val="20"/>
          <w:color w:val="auto"/>
        </w:rPr>
      </w:pPr>
    </w:p>
    <w:p>
      <w:pPr>
        <w:ind w:left="40" w:right="299"/>
        <w:spacing w:after="0" w:line="266" w:lineRule="auto"/>
        <w:rPr>
          <w:sz w:val="20"/>
          <w:szCs w:val="20"/>
          <w:color w:val="auto"/>
        </w:rPr>
      </w:pPr>
      <w:r>
        <w:rPr>
          <w:rFonts w:ascii="Times New Roman" w:cs="Times New Roman" w:eastAsia="Times New Roman" w:hAnsi="Times New Roman"/>
          <w:sz w:val="17"/>
          <w:szCs w:val="17"/>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and contractual rights. There are no currently pending legal proceedings that the Company believes will have a material adverse impact on the business or consolidated financial statements.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224" w:lineRule="exact"/>
        <w:rPr>
          <w:sz w:val="20"/>
          <w:szCs w:val="20"/>
          <w:color w:val="auto"/>
        </w:rPr>
      </w:pPr>
    </w:p>
    <w:p>
      <w:pPr>
        <w:ind w:left="40" w:right="259"/>
        <w:spacing w:after="0" w:line="275" w:lineRule="auto"/>
        <w:rPr>
          <w:sz w:val="20"/>
          <w:szCs w:val="20"/>
          <w:color w:val="auto"/>
        </w:rPr>
      </w:pPr>
      <w:r>
        <w:rPr>
          <w:rFonts w:ascii="Times New Roman" w:cs="Times New Roman" w:eastAsia="Times New Roman" w:hAnsi="Times New Roman"/>
          <w:sz w:val="17"/>
          <w:szCs w:val="17"/>
          <w:color w:val="auto"/>
        </w:rPr>
        <w:t>The Company evaluated subsequent events from December 31, 2025 through March 30, 2026, the issuance date of these consolidated financial statements, for events requiring recognition or disclosure in the consolidated financial statements as of and for the year ended December 31, 2025.</w:t>
      </w:r>
    </w:p>
    <w:p>
      <w:pPr>
        <w:spacing w:after="0" w:line="163"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7"/>
          <w:szCs w:val="17"/>
          <w:color w:val="auto"/>
        </w:rPr>
        <w:t>On March 3, 2026, the Company received a demand letter from a former employee of one of the Company’s subsidiaries over his efforts to exercise certain stock option agreements. Specifically, the dispute centers on whether this former employee has or is willing to address certain potential tax obligations in order to allow the option exercise to be affected. The demand letter seeks enforcement of the option agreements, but no litigation has commenced.</w:t>
      </w:r>
    </w:p>
    <w:p>
      <w:pPr>
        <w:spacing w:after="0" w:line="168" w:lineRule="exact"/>
        <w:rPr>
          <w:sz w:val="20"/>
          <w:szCs w:val="20"/>
          <w:color w:val="auto"/>
        </w:rPr>
      </w:pPr>
    </w:p>
    <w:p>
      <w:pPr>
        <w:jc w:val="both"/>
        <w:ind w:left="40" w:right="99"/>
        <w:spacing w:after="0" w:line="275" w:lineRule="auto"/>
        <w:rPr>
          <w:sz w:val="20"/>
          <w:szCs w:val="20"/>
          <w:color w:val="auto"/>
        </w:rPr>
      </w:pPr>
      <w:r>
        <w:rPr>
          <w:rFonts w:ascii="Times New Roman" w:cs="Times New Roman" w:eastAsia="Times New Roman" w:hAnsi="Times New Roman"/>
          <w:sz w:val="17"/>
          <w:szCs w:val="17"/>
          <w:color w:val="auto"/>
        </w:rPr>
        <w:t>The Company is currently evaluating the matter in consultation with legal counsel. Based on the information available as of the issuance date of these consolidated financial statements, the Company has not recorded a liability related to this matter as it has not concluded that a loss is probable.</w:t>
      </w:r>
    </w:p>
    <w:p>
      <w:pPr>
        <w:spacing w:after="0" w:line="163" w:lineRule="exact"/>
        <w:rPr>
          <w:sz w:val="20"/>
          <w:szCs w:val="20"/>
          <w:color w:val="auto"/>
        </w:rPr>
      </w:pPr>
    </w:p>
    <w:p>
      <w:pPr>
        <w:ind w:left="40" w:right="319"/>
        <w:spacing w:after="0" w:line="295" w:lineRule="auto"/>
        <w:rPr>
          <w:sz w:val="20"/>
          <w:szCs w:val="20"/>
          <w:color w:val="auto"/>
        </w:rPr>
      </w:pPr>
      <w:r>
        <w:rPr>
          <w:rFonts w:ascii="Times New Roman" w:cs="Times New Roman" w:eastAsia="Times New Roman" w:hAnsi="Times New Roman"/>
          <w:sz w:val="17"/>
          <w:szCs w:val="17"/>
          <w:color w:val="auto"/>
        </w:rPr>
        <w:t>The ultimate outcome of this matter is uncertain and, if the outcome was unfavorable to the Company, could have a material effect on the Company’s financial position, results of operations, or cash flows in a future period.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484505</wp:posOffset>
            </wp:positionV>
            <wp:extent cx="56616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119"/>
        <w:spacing w:after="0" w:line="297" w:lineRule="auto"/>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None.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4" w:lineRule="exact"/>
        <w:rPr>
          <w:sz w:val="20"/>
          <w:szCs w:val="20"/>
          <w:color w:val="auto"/>
        </w:rPr>
      </w:pPr>
    </w:p>
    <w:p>
      <w:pPr>
        <w:ind w:left="40" w:right="59" w:firstLine="670"/>
        <w:spacing w:after="0" w:line="262"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spacing w:after="0" w:line="177" w:lineRule="exact"/>
        <w:rPr>
          <w:sz w:val="20"/>
          <w:szCs w:val="20"/>
          <w:color w:val="auto"/>
        </w:rPr>
      </w:pPr>
    </w:p>
    <w:p>
      <w:pPr>
        <w:ind w:left="40" w:right="79" w:firstLine="670"/>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the fiscal year ended December 31, 2025. Accordingly, Management believes that the financial statement contained elsewhere in this Report present fairly in all material respects our financial position, results of operations and cash flows for the period presented.</w:t>
      </w:r>
    </w:p>
    <w:p>
      <w:pPr>
        <w:spacing w:after="0" w:line="172" w:lineRule="exact"/>
        <w:rPr>
          <w:sz w:val="20"/>
          <w:szCs w:val="20"/>
          <w:color w:val="auto"/>
        </w:rPr>
      </w:pPr>
    </w:p>
    <w:p>
      <w:pPr>
        <w:ind w:left="40" w:right="139" w:firstLine="667"/>
        <w:spacing w:after="0" w:line="261" w:lineRule="auto"/>
        <w:rPr>
          <w:sz w:val="20"/>
          <w:szCs w:val="20"/>
          <w:color w:val="auto"/>
        </w:rPr>
      </w:pPr>
      <w:r>
        <w:rPr>
          <w:rFonts w:ascii="Times New Roman" w:cs="Times New Roman" w:eastAsia="Times New Roman" w:hAnsi="Times New Roman"/>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Controls over Financial Reporting</w:t>
      </w:r>
    </w:p>
    <w:p>
      <w:pPr>
        <w:spacing w:after="0" w:line="224" w:lineRule="exact"/>
        <w:rPr>
          <w:sz w:val="20"/>
          <w:szCs w:val="20"/>
          <w:color w:val="auto"/>
        </w:rPr>
      </w:pPr>
    </w:p>
    <w:p>
      <w:pPr>
        <w:ind w:left="40" w:right="459" w:firstLine="667"/>
        <w:spacing w:after="0" w:line="295" w:lineRule="auto"/>
        <w:rPr>
          <w:sz w:val="20"/>
          <w:szCs w:val="20"/>
          <w:color w:val="auto"/>
        </w:rPr>
      </w:pPr>
      <w:r>
        <w:rPr>
          <w:rFonts w:ascii="Times New Roman" w:cs="Times New Roman" w:eastAsia="Times New Roman" w:hAnsi="Times New Roman"/>
          <w:sz w:val="17"/>
          <w:szCs w:val="17"/>
          <w:color w:val="auto"/>
        </w:rPr>
        <w:t>This Report does not include an attestation report of our internal controls from our independent registered public accounting firm due to our status as an emerging growth company under the JOBS Act.</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4" w:lineRule="exact"/>
        <w:rPr>
          <w:sz w:val="20"/>
          <w:szCs w:val="20"/>
          <w:color w:val="auto"/>
        </w:rPr>
      </w:pPr>
    </w:p>
    <w:p>
      <w:pPr>
        <w:ind w:left="40" w:right="319" w:firstLine="627"/>
        <w:spacing w:after="0" w:line="275"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under the Exchange Act during the three months ended December 31, 2025, that have materially affected, or are reasonably likely to materially affect, our internal control over financial reporting.</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24" w:lineRule="exact"/>
        <w:rPr>
          <w:sz w:val="20"/>
          <w:szCs w:val="20"/>
          <w:color w:val="auto"/>
        </w:rPr>
      </w:pPr>
    </w:p>
    <w:p>
      <w:pPr>
        <w:ind w:left="40" w:right="239" w:firstLine="627"/>
        <w:spacing w:after="0" w:line="275" w:lineRule="auto"/>
        <w:rPr>
          <w:sz w:val="20"/>
          <w:szCs w:val="20"/>
          <w:color w:val="auto"/>
        </w:rPr>
      </w:pPr>
      <w:r>
        <w:rPr>
          <w:rFonts w:ascii="Times New Roman" w:cs="Times New Roman" w:eastAsia="Times New Roman" w:hAnsi="Times New Roman"/>
          <w:sz w:val="17"/>
          <w:szCs w:val="17"/>
          <w:color w:val="auto"/>
        </w:rPr>
        <w:t>During the fourth quarter of 2025, none of the Company’s directors or executive officers adopted, modified or terminated any “Rule 10b5-1 trading arrangement” or any “non-Rule 10b5-1 trading arrangement,” as each term is defined in Item 408 of Regulation S-K.</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i w:val="1"/>
          <w:iCs w:val="1"/>
          <w:color w:val="auto"/>
        </w:rPr>
        <w:t>Delaware Certificate of Correction</w:t>
      </w:r>
    </w:p>
    <w:p>
      <w:pPr>
        <w:spacing w:after="0" w:line="224" w:lineRule="exact"/>
        <w:rPr>
          <w:sz w:val="20"/>
          <w:szCs w:val="20"/>
          <w:color w:val="auto"/>
        </w:rPr>
      </w:pPr>
    </w:p>
    <w:p>
      <w:pPr>
        <w:ind w:left="40" w:right="139" w:firstLine="627"/>
        <w:spacing w:after="0" w:line="266" w:lineRule="auto"/>
        <w:rPr>
          <w:sz w:val="20"/>
          <w:szCs w:val="20"/>
          <w:color w:val="auto"/>
        </w:rPr>
      </w:pPr>
      <w:r>
        <w:rPr>
          <w:rFonts w:ascii="Times New Roman" w:cs="Times New Roman" w:eastAsia="Times New Roman" w:hAnsi="Times New Roman"/>
          <w:sz w:val="17"/>
          <w:szCs w:val="17"/>
          <w:color w:val="auto"/>
        </w:rPr>
        <w:t>On March 27, 2026, the Company filed a Certificate of Correction (the “Certificate of Correction”) with the Secretary of State of the State of Delaware in connection with the Company’s Certificate of Incorporation filed on October 23, 2025 (the “Charter”). The Certificate of Correction was filed to update Article II of the Charter to reflect the correct name and address of the Company’s registered agent. Other than disclosed herein, no additional changes have been made to the Charter. The as-corrected text of the Charter is included as Exhibit 3.1 to this Annual Report.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4" w:lineRule="exact"/>
        <w:rPr>
          <w:sz w:val="20"/>
          <w:szCs w:val="20"/>
          <w:color w:val="auto"/>
        </w:rPr>
      </w:pPr>
    </w:p>
    <w:p>
      <w:pPr>
        <w:ind w:left="40" w:right="499" w:firstLine="627"/>
        <w:spacing w:after="0" w:line="29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proxy statement for our 2026 Annual Meeting of Stockholders to be filed with the SEC not later than 120 days after December 31, 2025.</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4" w:lineRule="exact"/>
        <w:rPr>
          <w:sz w:val="20"/>
          <w:szCs w:val="20"/>
          <w:color w:val="auto"/>
        </w:rPr>
      </w:pPr>
    </w:p>
    <w:p>
      <w:pPr>
        <w:ind w:left="40" w:right="499" w:firstLine="627"/>
        <w:spacing w:after="0" w:line="29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proxy statement for our 2026 Annual Meeting of Stockholders to be filed with the SEC not later than 120 days after December 31, 2025.</w:t>
      </w:r>
    </w:p>
    <w:p>
      <w:pPr>
        <w:spacing w:after="0" w:line="144" w:lineRule="exact"/>
        <w:rPr>
          <w:sz w:val="20"/>
          <w:szCs w:val="20"/>
          <w:color w:val="auto"/>
        </w:rPr>
      </w:pPr>
    </w:p>
    <w:p>
      <w:pPr>
        <w:ind w:left="40" w:right="879"/>
        <w:spacing w:after="0" w:line="297"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45" w:lineRule="exact"/>
        <w:rPr>
          <w:sz w:val="20"/>
          <w:szCs w:val="20"/>
          <w:color w:val="auto"/>
        </w:rPr>
      </w:pPr>
    </w:p>
    <w:p>
      <w:pPr>
        <w:ind w:left="40" w:right="499" w:firstLine="627"/>
        <w:spacing w:after="0" w:line="29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proxy statement for our 2026 Annual Meeting of Stockholders to be filed with the SEC not later than 120 days after December 31, 2025.</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4" w:lineRule="exact"/>
        <w:rPr>
          <w:sz w:val="20"/>
          <w:szCs w:val="20"/>
          <w:color w:val="auto"/>
        </w:rPr>
      </w:pPr>
    </w:p>
    <w:p>
      <w:pPr>
        <w:ind w:left="40" w:right="499" w:firstLine="627"/>
        <w:spacing w:after="0" w:line="29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proxy statement for our 2026 Annual Meeting of Stockholders to be filed with the SEC not later than 120 days after December 31, 2025.</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24" w:lineRule="exact"/>
        <w:rPr>
          <w:sz w:val="20"/>
          <w:szCs w:val="20"/>
          <w:color w:val="auto"/>
        </w:rPr>
      </w:pPr>
    </w:p>
    <w:p>
      <w:pPr>
        <w:ind w:left="40" w:right="499" w:firstLine="627"/>
        <w:spacing w:after="0" w:line="295" w:lineRule="auto"/>
        <w:rPr>
          <w:sz w:val="20"/>
          <w:szCs w:val="20"/>
          <w:color w:val="auto"/>
        </w:rPr>
      </w:pPr>
      <w:r>
        <w:rPr>
          <w:rFonts w:ascii="Times New Roman" w:cs="Times New Roman" w:eastAsia="Times New Roman" w:hAnsi="Times New Roman"/>
          <w:sz w:val="17"/>
          <w:szCs w:val="17"/>
          <w:color w:val="auto"/>
        </w:rPr>
        <w:t>The information required under this item is incorporated herein by reference to our proxy statement for our 2026 Annual Meeting of Stockholders to be filed with the SEC not later than 120 days after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59" w:lineRule="exact"/>
        <w:rPr>
          <w:sz w:val="20"/>
          <w:szCs w:val="20"/>
          <w:color w:val="auto"/>
        </w:rPr>
      </w:pPr>
    </w:p>
    <w:p>
      <w:pPr>
        <w:ind w:left="680" w:hanging="632"/>
        <w:spacing w:after="0"/>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1.Financial Statements. See “Part II. Item 8. Financial Statements and Supplementary Data”</w:t>
      </w:r>
    </w:p>
    <w:p>
      <w:pPr>
        <w:spacing w:after="0" w:line="143" w:lineRule="exact"/>
        <w:rPr>
          <w:rFonts w:ascii="Times New Roman" w:cs="Times New Roman" w:eastAsia="Times New Roman" w:hAnsi="Times New Roman"/>
          <w:sz w:val="17"/>
          <w:szCs w:val="17"/>
          <w:color w:val="auto"/>
        </w:rPr>
      </w:pPr>
    </w:p>
    <w:p>
      <w:pPr>
        <w:ind w:left="1300" w:hanging="626"/>
        <w:spacing w:after="0"/>
        <w:tabs>
          <w:tab w:leader="none" w:pos="13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 See “Part II. Item 8. Financial Statements and Supplementary Data”</w:t>
      </w:r>
    </w:p>
    <w:p>
      <w:pPr>
        <w:spacing w:after="0" w:line="156" w:lineRule="exact"/>
        <w:rPr>
          <w:rFonts w:ascii="Times New Roman" w:cs="Times New Roman" w:eastAsia="Times New Roman" w:hAnsi="Times New Roman"/>
          <w:sz w:val="17"/>
          <w:szCs w:val="17"/>
          <w:color w:val="auto"/>
        </w:rPr>
      </w:pPr>
    </w:p>
    <w:p>
      <w:pPr>
        <w:ind w:left="1300" w:hanging="626"/>
        <w:spacing w:after="0"/>
        <w:tabs>
          <w:tab w:leader="none" w:pos="13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Index:</w:t>
      </w:r>
    </w:p>
    <w:p>
      <w:pPr>
        <w:spacing w:after="0" w:line="203"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spacing w:after="0"/>
              <w:rPr>
                <w:sz w:val="14"/>
                <w:szCs w:val="14"/>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Date Filed with the</w:t>
            </w:r>
          </w:p>
        </w:tc>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0" w:type="dxa"/>
            <w:vAlign w:val="bottom"/>
          </w:tcPr>
          <w:p>
            <w:pPr>
              <w:spacing w:after="0"/>
              <w:rPr>
                <w:sz w:val="1"/>
                <w:szCs w:val="1"/>
                <w:color w:val="auto"/>
              </w:rPr>
            </w:pPr>
          </w:p>
        </w:tc>
      </w:tr>
      <w:tr>
        <w:trPr>
          <w:trHeight w:val="184"/>
        </w:trPr>
        <w:tc>
          <w:tcPr>
            <w:tcW w:w="6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continue"/>
          </w:tcPr>
          <w:p>
            <w:pPr>
              <w:spacing w:after="0"/>
              <w:rPr>
                <w:sz w:val="15"/>
                <w:szCs w:val="15"/>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Pr>
          <w:p>
            <w:pPr>
              <w:spacing w:after="0"/>
              <w:rPr>
                <w:sz w:val="15"/>
                <w:szCs w:val="15"/>
                <w:color w:val="auto"/>
              </w:rPr>
            </w:pPr>
          </w:p>
        </w:tc>
        <w:tc>
          <w:tcPr>
            <w:tcW w:w="8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SEC</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6350</wp:posOffset>
            </wp:positionV>
            <wp:extent cx="56534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3405" cy="825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gridSpan w:val="29"/>
          </w:tcPr>
          <w:p>
            <w:pPr>
              <w:spacing w:after="0"/>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Business Combination Agreement,</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dated as of March 26, 2025, by and</w:t>
              </w:r>
            </w:hyperlink>
          </w:p>
        </w:tc>
        <w:tc>
          <w:tcPr>
            <w:tcW w:w="2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29"/>
          </w:tcPr>
          <w:p>
            <w:pPr>
              <w:spacing w:after="0" w:line="189"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among HCM II Acquisition Corp.,</w:t>
              </w:r>
            </w:hyperlink>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Borders>
              <w:top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HCM II Merger Sub Inc., and</w:t>
              </w:r>
            </w:hyperlink>
          </w:p>
        </w:tc>
        <w:tc>
          <w:tcPr>
            <w:tcW w:w="2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w w:val="99"/>
              </w:rPr>
            </w:pPr>
            <w:hyperlink r:id="rId122">
              <w:r>
                <w:rPr>
                  <w:rFonts w:ascii="Times New Roman" w:cs="Times New Roman" w:eastAsia="Times New Roman" w:hAnsi="Times New Roman"/>
                  <w:sz w:val="17"/>
                  <w:szCs w:val="17"/>
                  <w:color w:val="0000EE"/>
                  <w:w w:val="99"/>
                </w:rPr>
                <w:t>Terrestrial Energy Inc.</w:t>
              </w:r>
            </w:hyperlink>
          </w:p>
        </w:tc>
        <w:tc>
          <w:tcPr>
            <w:tcW w:w="480" w:type="dxa"/>
            <w:vAlign w:val="bottom"/>
            <w:tcBorders>
              <w:top w:val="single" w:sz="8" w:color="0000EE"/>
            </w:tcBorders>
            <w:gridSpan w:val="6"/>
          </w:tcPr>
          <w:p>
            <w:pPr>
              <w:spacing w:after="0"/>
              <w:rPr>
                <w:sz w:val="16"/>
                <w:szCs w:val="16"/>
                <w:color w:val="auto"/>
              </w:rPr>
            </w:pPr>
          </w:p>
        </w:tc>
        <w:tc>
          <w:tcPr>
            <w:tcW w:w="62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2.2</w:t>
            </w:r>
          </w:p>
        </w:tc>
        <w:tc>
          <w:tcPr>
            <w:tcW w:w="480" w:type="dxa"/>
            <w:vAlign w:val="bottom"/>
          </w:tcPr>
          <w:p>
            <w:pPr>
              <w:spacing w:after="0"/>
              <w:rPr>
                <w:sz w:val="16"/>
                <w:szCs w:val="16"/>
                <w:color w:val="auto"/>
              </w:rPr>
            </w:pPr>
          </w:p>
        </w:tc>
        <w:tc>
          <w:tcPr>
            <w:tcW w:w="2660" w:type="dxa"/>
            <w:vAlign w:val="bottom"/>
            <w:gridSpan w:val="29"/>
          </w:tcPr>
          <w:p>
            <w:pPr>
              <w:spacing w:after="0" w:line="176"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Amendment No. 1 to Business</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tcBorders>
              <w:bottom w:val="single" w:sz="8" w:color="0000EE"/>
            </w:tcBorders>
            <w:gridSpan w:val="27"/>
          </w:tcPr>
          <w:p>
            <w:pPr>
              <w:spacing w:after="0" w:line="18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Combination Agreement, effective as</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6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of October 26, 2025, by and among</w:t>
              </w:r>
            </w:hyperlink>
          </w:p>
        </w:tc>
        <w:tc>
          <w:tcPr>
            <w:tcW w:w="2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80" w:type="dxa"/>
            <w:vAlign w:val="bottom"/>
            <w:tcBorders>
              <w:bottom w:val="single" w:sz="8" w:color="0000EE"/>
            </w:tcBorders>
            <w:gridSpan w:val="23"/>
          </w:tcPr>
          <w:p>
            <w:pPr>
              <w:spacing w:after="0" w:line="18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HCM II Acquisition Corp., HCM II</w:t>
              </w:r>
            </w:hyperlink>
          </w:p>
        </w:tc>
        <w:tc>
          <w:tcPr>
            <w:tcW w:w="1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Merger Sub Inc., and Terrestrial</w:t>
              </w:r>
            </w:hyperlink>
          </w:p>
        </w:tc>
        <w:tc>
          <w:tcPr>
            <w:tcW w:w="4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2.3</w:t>
            </w:r>
          </w:p>
        </w:tc>
        <w:tc>
          <w:tcPr>
            <w:tcW w:w="480" w:type="dxa"/>
            <w:vAlign w:val="bottom"/>
          </w:tcPr>
          <w:p>
            <w:pPr>
              <w:spacing w:after="0"/>
              <w:rPr>
                <w:sz w:val="16"/>
                <w:szCs w:val="16"/>
                <w:color w:val="auto"/>
              </w:rPr>
            </w:pPr>
          </w:p>
        </w:tc>
        <w:tc>
          <w:tcPr>
            <w:tcW w:w="2660" w:type="dxa"/>
            <w:vAlign w:val="bottom"/>
            <w:gridSpan w:val="29"/>
          </w:tcPr>
          <w:p>
            <w:pPr>
              <w:spacing w:after="0" w:line="189"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Energy Inc.</w:t>
              </w:r>
            </w:hyperlink>
          </w:p>
        </w:tc>
        <w:tc>
          <w:tcPr>
            <w:tcW w:w="0" w:type="dxa"/>
            <w:vAlign w:val="bottom"/>
          </w:tcPr>
          <w:p>
            <w:pPr>
              <w:spacing w:after="0"/>
              <w:rPr>
                <w:sz w:val="1"/>
                <w:szCs w:val="1"/>
                <w:color w:val="auto"/>
              </w:rPr>
            </w:pPr>
          </w:p>
        </w:tc>
      </w:tr>
      <w:tr>
        <w:trPr>
          <w:trHeight w:val="32"/>
        </w:trPr>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240" w:type="dxa"/>
            <w:vAlign w:val="bottom"/>
            <w:tcBorders>
              <w:bottom w:val="single" w:sz="8" w:color="0000EE"/>
              <w:right w:val="single" w:sz="8" w:color="CCEEFF"/>
            </w:tcBorders>
            <w:gridSpan w:val="15"/>
            <w:shd w:val="clear" w:color="auto" w:fill="CCEEFF"/>
          </w:tcPr>
          <w:p>
            <w:pPr>
              <w:spacing w:after="0" w:line="170" w:lineRule="exact"/>
              <w:rPr>
                <w:rFonts w:ascii="Times New Roman" w:cs="Times New Roman" w:eastAsia="Times New Roman" w:hAnsi="Times New Roman"/>
                <w:sz w:val="17"/>
                <w:szCs w:val="17"/>
                <w:color w:val="0000EE"/>
                <w:w w:val="99"/>
                <w:shd w:val="clear" w:color="auto" w:fill="CCEEFF"/>
              </w:rPr>
            </w:pPr>
            <w:hyperlink r:id="rId124">
              <w:r>
                <w:rPr>
                  <w:rFonts w:ascii="Times New Roman" w:cs="Times New Roman" w:eastAsia="Times New Roman" w:hAnsi="Times New Roman"/>
                  <w:sz w:val="17"/>
                  <w:szCs w:val="17"/>
                  <w:color w:val="0000EE"/>
                  <w:w w:val="99"/>
                  <w:shd w:val="clear" w:color="auto" w:fill="CCEEFF"/>
                </w:rPr>
                <w:t>Certificate of Merger of HCM II</w:t>
              </w:r>
            </w:hyperlink>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80" w:type="dxa"/>
            <w:vAlign w:val="bottom"/>
            <w:tcBorders>
              <w:bottom w:val="single" w:sz="8" w:color="0000EE"/>
            </w:tcBorders>
            <w:gridSpan w:val="12"/>
            <w:shd w:val="clear" w:color="auto" w:fill="CCEEFF"/>
          </w:tcPr>
          <w:p>
            <w:pPr>
              <w:spacing w:after="0" w:line="170" w:lineRule="exact"/>
              <w:rPr>
                <w:rFonts w:ascii="Times New Roman" w:cs="Times New Roman" w:eastAsia="Times New Roman" w:hAnsi="Times New Roman"/>
                <w:sz w:val="17"/>
                <w:szCs w:val="17"/>
                <w:color w:val="0000EE"/>
                <w:w w:val="99"/>
                <w:shd w:val="clear" w:color="auto" w:fill="CCEEFF"/>
              </w:rPr>
            </w:pPr>
            <w:hyperlink r:id="rId124">
              <w:r>
                <w:rPr>
                  <w:rFonts w:ascii="Times New Roman" w:cs="Times New Roman" w:eastAsia="Times New Roman" w:hAnsi="Times New Roman"/>
                  <w:sz w:val="17"/>
                  <w:szCs w:val="17"/>
                  <w:color w:val="0000EE"/>
                  <w:w w:val="99"/>
                  <w:shd w:val="clear" w:color="auto" w:fill="CCEEFF"/>
                </w:rPr>
                <w:t>Merger Sub Inc. with and into</w:t>
              </w:r>
            </w:hyperlink>
          </w:p>
        </w:tc>
        <w:tc>
          <w:tcPr>
            <w:tcW w:w="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top w:val="single" w:sz="8" w:color="CCEEFF"/>
              <w:bottom w:val="single" w:sz="8" w:color="0000EE"/>
            </w:tcBorders>
            <w:gridSpan w:val="4"/>
            <w:shd w:val="clear" w:color="auto" w:fill="CCEEFF"/>
          </w:tcPr>
          <w:p>
            <w:pPr>
              <w:spacing w:after="0" w:line="182" w:lineRule="exact"/>
              <w:rPr>
                <w:rFonts w:ascii="Times New Roman" w:cs="Times New Roman" w:eastAsia="Times New Roman" w:hAnsi="Times New Roman"/>
                <w:sz w:val="17"/>
                <w:szCs w:val="17"/>
                <w:color w:val="0000EE"/>
                <w:w w:val="98"/>
                <w:shd w:val="clear" w:color="auto" w:fill="CCEEFF"/>
              </w:rPr>
            </w:pPr>
            <w:hyperlink r:id="rId124">
              <w:r>
                <w:rPr>
                  <w:rFonts w:ascii="Times New Roman" w:cs="Times New Roman" w:eastAsia="Times New Roman" w:hAnsi="Times New Roman"/>
                  <w:sz w:val="17"/>
                  <w:szCs w:val="17"/>
                  <w:color w:val="0000EE"/>
                  <w:w w:val="98"/>
                  <w:shd w:val="clear" w:color="auto" w:fill="CCEEFF"/>
                </w:rPr>
                <w:t>Terrestrial Energy Inc.</w:t>
              </w:r>
            </w:hyperlink>
          </w:p>
        </w:tc>
        <w:tc>
          <w:tcPr>
            <w:tcW w:w="20" w:type="dxa"/>
            <w:vAlign w:val="bottom"/>
            <w:tcBorders>
              <w:top w:val="single" w:sz="8" w:color="CCEEFF"/>
              <w:bottom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2.4</w:t>
            </w:r>
          </w:p>
        </w:tc>
        <w:tc>
          <w:tcPr>
            <w:tcW w:w="480" w:type="dxa"/>
            <w:vAlign w:val="bottom"/>
          </w:tcPr>
          <w:p>
            <w:pPr>
              <w:spacing w:after="0"/>
              <w:rPr>
                <w:sz w:val="14"/>
                <w:szCs w:val="14"/>
                <w:color w:val="auto"/>
              </w:rPr>
            </w:pPr>
          </w:p>
        </w:tc>
        <w:tc>
          <w:tcPr>
            <w:tcW w:w="1540" w:type="dxa"/>
            <w:vAlign w:val="bottom"/>
            <w:tcBorders>
              <w:top w:val="single" w:sz="8" w:color="CCEEFF"/>
              <w:bottom w:val="single" w:sz="8" w:color="0000EE"/>
            </w:tcBorders>
            <w:gridSpan w:val="4"/>
          </w:tcPr>
          <w:p>
            <w:pPr>
              <w:spacing w:after="0" w:line="163" w:lineRule="exact"/>
              <w:rPr>
                <w:rFonts w:ascii="Times New Roman" w:cs="Times New Roman" w:eastAsia="Times New Roman" w:hAnsi="Times New Roman"/>
                <w:sz w:val="17"/>
                <w:szCs w:val="17"/>
                <w:color w:val="0000EE"/>
                <w:w w:val="99"/>
              </w:rPr>
            </w:pPr>
            <w:hyperlink r:id="rId125">
              <w:r>
                <w:rPr>
                  <w:rFonts w:ascii="Times New Roman" w:cs="Times New Roman" w:eastAsia="Times New Roman" w:hAnsi="Times New Roman"/>
                  <w:sz w:val="17"/>
                  <w:szCs w:val="17"/>
                  <w:color w:val="0000EE"/>
                  <w:w w:val="99"/>
                </w:rPr>
                <w:t>Plan of Domestication</w:t>
              </w:r>
            </w:hyperlink>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4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9"/>
              </w:rPr>
              <w:t>Composite Certificate of</w:t>
            </w:r>
          </w:p>
        </w:tc>
        <w:tc>
          <w:tcPr>
            <w:tcW w:w="9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tcBorders>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7"/>
                <w:szCs w:val="17"/>
                <w:color w:val="0000EE"/>
              </w:rPr>
              <w:t>Incorporation of Terrestrial Energy</w:t>
            </w:r>
          </w:p>
        </w:tc>
        <w:tc>
          <w:tcPr>
            <w:tcW w:w="2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29"/>
          </w:tcPr>
          <w:p>
            <w:pPr>
              <w:spacing w:after="0" w:line="189" w:lineRule="exact"/>
              <w:rPr>
                <w:sz w:val="20"/>
                <w:szCs w:val="20"/>
                <w:color w:val="auto"/>
              </w:rPr>
            </w:pPr>
            <w:r>
              <w:rPr>
                <w:rFonts w:ascii="Times New Roman" w:cs="Times New Roman" w:eastAsia="Times New Roman" w:hAnsi="Times New Roman"/>
                <w:sz w:val="17"/>
                <w:szCs w:val="17"/>
                <w:color w:val="0000EE"/>
              </w:rPr>
              <w:t>Inc. (as amended through March 27,</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top w:val="single" w:sz="8" w:color="0000EE"/>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w w:val="90"/>
              </w:rPr>
              <w:t>2026)</w:t>
            </w:r>
          </w:p>
        </w:tc>
        <w:tc>
          <w:tcPr>
            <w:tcW w:w="4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3140" w:type="dxa"/>
            <w:vAlign w:val="bottom"/>
            <w:gridSpan w:val="30"/>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Composite Bylaws of Terrestrial</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Energy Inc. (as amended through</w:t>
            </w: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October 28, 2026)</w:t>
            </w: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3140" w:type="dxa"/>
            <w:vAlign w:val="bottom"/>
            <w:gridSpan w:val="30"/>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Certificate of Designations for Special</w:t>
            </w: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8"/>
              </w:rPr>
              <w:t>Voting Preferred Stock</w:t>
            </w:r>
          </w:p>
        </w:tc>
        <w:tc>
          <w:tcPr>
            <w:tcW w:w="1080" w:type="dxa"/>
            <w:vAlign w:val="bottom"/>
            <w:tcBorders>
              <w:top w:val="single" w:sz="8" w:color="0000EE"/>
            </w:tcBorders>
            <w:gridSpan w:val="23"/>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4.1</w:t>
            </w:r>
          </w:p>
        </w:tc>
        <w:tc>
          <w:tcPr>
            <w:tcW w:w="480" w:type="dxa"/>
            <w:vAlign w:val="bottom"/>
          </w:tcPr>
          <w:p>
            <w:pPr>
              <w:spacing w:after="0"/>
              <w:rPr>
                <w:sz w:val="16"/>
                <w:szCs w:val="16"/>
                <w:color w:val="auto"/>
              </w:rPr>
            </w:pPr>
          </w:p>
        </w:tc>
        <w:tc>
          <w:tcPr>
            <w:tcW w:w="2580" w:type="dxa"/>
            <w:vAlign w:val="bottom"/>
            <w:tcBorders>
              <w:bottom w:val="single" w:sz="8" w:color="0000EE"/>
            </w:tcBorders>
            <w:gridSpan w:val="26"/>
          </w:tcPr>
          <w:p>
            <w:pPr>
              <w:spacing w:after="0" w:line="176"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Specimen Common Stock Certificate</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Borders>
              <w:bottom w:val="single" w:sz="8" w:color="0000EE"/>
            </w:tcBorders>
            <w:gridSpan w:val="8"/>
          </w:tcPr>
          <w:p>
            <w:pPr>
              <w:spacing w:after="0" w:line="189" w:lineRule="exact"/>
              <w:rPr>
                <w:rFonts w:ascii="Times New Roman" w:cs="Times New Roman" w:eastAsia="Times New Roman" w:hAnsi="Times New Roman"/>
                <w:sz w:val="17"/>
                <w:szCs w:val="17"/>
                <w:color w:val="0000EE"/>
                <w:w w:val="99"/>
              </w:rPr>
            </w:pPr>
            <w:hyperlink r:id="rId126">
              <w:r>
                <w:rPr>
                  <w:rFonts w:ascii="Times New Roman" w:cs="Times New Roman" w:eastAsia="Times New Roman" w:hAnsi="Times New Roman"/>
                  <w:sz w:val="17"/>
                  <w:szCs w:val="17"/>
                  <w:color w:val="0000EE"/>
                  <w:w w:val="99"/>
                </w:rPr>
                <w:t>of Terrestrial Energy Inc.</w:t>
              </w:r>
            </w:hyperlink>
          </w:p>
        </w:tc>
        <w:tc>
          <w:tcPr>
            <w:tcW w:w="92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3140" w:type="dxa"/>
            <w:vAlign w:val="bottom"/>
            <w:gridSpan w:val="30"/>
          </w:tcPr>
          <w:p>
            <w:pPr>
              <w:ind w:left="2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Specimen Warrant Certificate of</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w w:val="99"/>
              </w:rPr>
              <w:t>Terrestrial Energy Inc.</w:t>
            </w:r>
          </w:p>
        </w:tc>
        <w:tc>
          <w:tcPr>
            <w:tcW w:w="680" w:type="dxa"/>
            <w:vAlign w:val="bottom"/>
            <w:tcBorders>
              <w:top w:val="single" w:sz="8" w:color="0000EE"/>
            </w:tcBorders>
            <w:gridSpan w:val="10"/>
          </w:tcPr>
          <w:p>
            <w:pPr>
              <w:spacing w:after="0"/>
              <w:rPr>
                <w:sz w:val="16"/>
                <w:szCs w:val="16"/>
                <w:color w:val="auto"/>
              </w:rPr>
            </w:pPr>
          </w:p>
        </w:tc>
        <w:tc>
          <w:tcPr>
            <w:tcW w:w="4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10.1</w:t>
            </w:r>
          </w:p>
        </w:tc>
        <w:tc>
          <w:tcPr>
            <w:tcW w:w="480" w:type="dxa"/>
            <w:vAlign w:val="bottom"/>
          </w:tcPr>
          <w:p>
            <w:pPr>
              <w:spacing w:after="0"/>
              <w:rPr>
                <w:sz w:val="16"/>
                <w:szCs w:val="16"/>
                <w:color w:val="auto"/>
              </w:rPr>
            </w:pPr>
          </w:p>
        </w:tc>
        <w:tc>
          <w:tcPr>
            <w:tcW w:w="2200" w:type="dxa"/>
            <w:vAlign w:val="bottom"/>
            <w:tcBorders>
              <w:bottom w:val="single" w:sz="8" w:color="0000EE"/>
            </w:tcBorders>
            <w:gridSpan w:val="14"/>
          </w:tcPr>
          <w:p>
            <w:pPr>
              <w:spacing w:after="0" w:line="176"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Amended and Restated Warrant</w:t>
              </w:r>
            </w:hyperlink>
          </w:p>
        </w:tc>
        <w:tc>
          <w:tcPr>
            <w:tcW w:w="46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tcBorders>
              <w:bottom w:val="single" w:sz="8" w:color="0000EE"/>
            </w:tcBorders>
            <w:gridSpan w:val="25"/>
          </w:tcPr>
          <w:p>
            <w:pPr>
              <w:spacing w:after="0" w:line="189"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Agreement, dated October 28, 2025,</w:t>
              </w:r>
            </w:hyperlink>
          </w:p>
        </w:tc>
        <w:tc>
          <w:tcPr>
            <w:tcW w:w="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29"/>
          </w:tcPr>
          <w:p>
            <w:pPr>
              <w:spacing w:after="0" w:line="189"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by and between the Company and</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8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Continental Stock Transfer &amp; Trust</w:t>
              </w:r>
            </w:hyperlink>
          </w:p>
        </w:tc>
        <w:tc>
          <w:tcPr>
            <w:tcW w:w="2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80" w:type="dxa"/>
            <w:vAlign w:val="bottom"/>
            <w:tcBorders>
              <w:bottom w:val="single" w:sz="8" w:color="0000EE"/>
            </w:tcBorders>
            <w:gridSpan w:val="9"/>
          </w:tcPr>
          <w:p>
            <w:pPr>
              <w:spacing w:after="0" w:line="189" w:lineRule="exact"/>
              <w:rPr>
                <w:rFonts w:ascii="Times New Roman" w:cs="Times New Roman" w:eastAsia="Times New Roman" w:hAnsi="Times New Roman"/>
                <w:sz w:val="17"/>
                <w:szCs w:val="17"/>
                <w:color w:val="0000EE"/>
                <w:w w:val="99"/>
              </w:rPr>
            </w:pPr>
            <w:hyperlink r:id="rId127">
              <w:r>
                <w:rPr>
                  <w:rFonts w:ascii="Times New Roman" w:cs="Times New Roman" w:eastAsia="Times New Roman" w:hAnsi="Times New Roman"/>
                  <w:sz w:val="17"/>
                  <w:szCs w:val="17"/>
                  <w:color w:val="0000EE"/>
                  <w:w w:val="99"/>
                </w:rPr>
                <w:t>Company, as warrant agent</w:t>
              </w:r>
            </w:hyperlink>
          </w:p>
        </w:tc>
        <w:tc>
          <w:tcPr>
            <w:tcW w:w="78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10.2</w:t>
            </w:r>
          </w:p>
        </w:tc>
        <w:tc>
          <w:tcPr>
            <w:tcW w:w="480" w:type="dxa"/>
            <w:vAlign w:val="bottom"/>
          </w:tcPr>
          <w:p>
            <w:pPr>
              <w:spacing w:after="0"/>
              <w:rPr>
                <w:sz w:val="16"/>
                <w:szCs w:val="16"/>
                <w:color w:val="auto"/>
              </w:rPr>
            </w:pPr>
          </w:p>
        </w:tc>
        <w:tc>
          <w:tcPr>
            <w:tcW w:w="2660" w:type="dxa"/>
            <w:vAlign w:val="bottom"/>
            <w:gridSpan w:val="29"/>
          </w:tcPr>
          <w:p>
            <w:pPr>
              <w:spacing w:after="0" w:line="176"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Assignment and Assumption</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980" w:type="dxa"/>
            <w:vAlign w:val="bottom"/>
            <w:gridSpan w:val="10"/>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29"/>
          </w:tcPr>
          <w:p>
            <w:pPr>
              <w:spacing w:after="0" w:line="189"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Agreement dated October 28, 2025 by</w:t>
              </w:r>
            </w:hyperlink>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22"/>
          </w:tcPr>
          <w:p>
            <w:pPr>
              <w:spacing w:after="0" w:line="189" w:lineRule="exact"/>
              <w:rPr>
                <w:rFonts w:ascii="Times New Roman" w:cs="Times New Roman" w:eastAsia="Times New Roman" w:hAnsi="Times New Roman"/>
                <w:sz w:val="17"/>
                <w:szCs w:val="17"/>
                <w:color w:val="0000EE"/>
                <w:w w:val="99"/>
              </w:rPr>
            </w:pPr>
            <w:hyperlink r:id="rId128">
              <w:r>
                <w:rPr>
                  <w:rFonts w:ascii="Times New Roman" w:cs="Times New Roman" w:eastAsia="Times New Roman" w:hAnsi="Times New Roman"/>
                  <w:sz w:val="17"/>
                  <w:szCs w:val="17"/>
                  <w:color w:val="0000EE"/>
                  <w:w w:val="99"/>
                </w:rPr>
                <w:t>and between Terrestrial Energy Inc.</w:t>
              </w:r>
            </w:hyperlink>
          </w:p>
        </w:tc>
        <w:tc>
          <w:tcPr>
            <w:tcW w:w="180" w:type="dxa"/>
            <w:vAlign w:val="bottom"/>
            <w:tcBorders>
              <w:top w:val="single" w:sz="8" w:color="0000EE"/>
            </w:tcBorders>
            <w:gridSpan w:val="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20" w:type="dxa"/>
            <w:vAlign w:val="bottom"/>
            <w:tcBorders>
              <w:bottom w:val="single" w:sz="8" w:color="0000EE"/>
            </w:tcBorders>
            <w:gridSpan w:val="13"/>
          </w:tcPr>
          <w:p>
            <w:pPr>
              <w:spacing w:after="0" w:line="189"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and HCM II Acquisition Corp.</w:t>
              </w:r>
            </w:hyperlink>
          </w:p>
        </w:tc>
        <w:tc>
          <w:tcPr>
            <w:tcW w:w="54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auto"/>
              </w:rPr>
              <w:t>S-4/A</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2.1</w:t>
            </w: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September 23,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20"/>
                <w:szCs w:val="20"/>
                <w:color w:val="auto"/>
              </w:rPr>
            </w:pPr>
          </w:p>
        </w:tc>
      </w:tr>
      <w:tr>
        <w:trPr>
          <w:trHeight w:val="809"/>
        </w:trPr>
        <w:tc>
          <w:tcPr>
            <w:tcW w:w="82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auto"/>
              </w:rPr>
              <w:t>8-K</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2.2</w:t>
            </w: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November 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20"/>
                <w:szCs w:val="20"/>
                <w:color w:val="auto"/>
              </w:rPr>
            </w:pPr>
          </w:p>
        </w:tc>
      </w:tr>
      <w:tr>
        <w:trPr>
          <w:trHeight w:val="1018"/>
        </w:trPr>
        <w:tc>
          <w:tcPr>
            <w:tcW w:w="82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auto"/>
              </w:rPr>
              <w:t>8-K</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2.3</w:t>
            </w: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November 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20"/>
                <w:szCs w:val="20"/>
                <w:color w:val="auto"/>
              </w:rPr>
            </w:pPr>
          </w:p>
        </w:tc>
      </w:tr>
      <w:tr>
        <w:trPr>
          <w:trHeight w:val="444"/>
        </w:trPr>
        <w:tc>
          <w:tcPr>
            <w:tcW w:w="82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auto"/>
              </w:rPr>
              <w:t>8-K</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2.4</w:t>
            </w: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November 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-2179320</wp:posOffset>
            </wp:positionV>
            <wp:extent cx="5653405" cy="662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653405" cy="66294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-720090</wp:posOffset>
            </wp:positionV>
            <wp:extent cx="5653405" cy="431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653405" cy="4311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0</wp:posOffset>
            </wp:positionV>
            <wp:extent cx="5653405" cy="530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653405" cy="53022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961390</wp:posOffset>
            </wp:positionV>
            <wp:extent cx="5653405" cy="290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653405" cy="29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auto"/>
              </w:rPr>
              <w:t>S-4/A</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September 23,</w:t>
            </w:r>
          </w:p>
        </w:tc>
        <w:tc>
          <w:tcPr>
            <w:tcW w:w="10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333-288735</w:t>
            </w:r>
          </w:p>
        </w:tc>
      </w:tr>
      <w:tr>
        <w:trPr>
          <w:trHeight w:val="235"/>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1040" w:type="dxa"/>
            <w:vAlign w:val="bottom"/>
          </w:tcPr>
          <w:p>
            <w:pPr>
              <w:spacing w:after="0"/>
              <w:rPr>
                <w:sz w:val="20"/>
                <w:szCs w:val="20"/>
                <w:color w:val="auto"/>
              </w:rPr>
            </w:pPr>
          </w:p>
        </w:tc>
      </w:tr>
      <w:tr>
        <w:trPr>
          <w:trHeight w:val="640"/>
        </w:trPr>
        <w:tc>
          <w:tcPr>
            <w:tcW w:w="78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November 3,</w:t>
            </w:r>
          </w:p>
        </w:tc>
        <w:tc>
          <w:tcPr>
            <w:tcW w:w="10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1040" w:type="dxa"/>
            <w:vAlign w:val="bottom"/>
          </w:tcPr>
          <w:p>
            <w:pPr>
              <w:spacing w:after="0"/>
              <w:rPr>
                <w:sz w:val="20"/>
                <w:szCs w:val="20"/>
                <w:color w:val="auto"/>
              </w:rPr>
            </w:pPr>
          </w:p>
        </w:tc>
      </w:tr>
      <w:tr>
        <w:trPr>
          <w:trHeight w:val="809"/>
        </w:trPr>
        <w:tc>
          <w:tcPr>
            <w:tcW w:w="78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November 3,</w:t>
            </w:r>
          </w:p>
        </w:tc>
        <w:tc>
          <w:tcPr>
            <w:tcW w:w="10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001-42252</w:t>
            </w:r>
          </w:p>
        </w:tc>
      </w:tr>
      <w:tr>
        <w:trPr>
          <w:trHeight w:val="235"/>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2025</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-1217930</wp:posOffset>
            </wp:positionV>
            <wp:extent cx="5653405" cy="265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5653405" cy="26543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-289560</wp:posOffset>
            </wp:positionV>
            <wp:extent cx="5653405" cy="530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653405" cy="53022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3740" w:space="580"/>
            <w:col w:w="4699"/>
          </w:cols>
          <w:pgMar w:left="1440" w:top="500" w:right="1440"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Date Filed with the</w:t>
            </w: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60" w:type="dxa"/>
            <w:vAlign w:val="bottom"/>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13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SEC</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color w:val="auto"/>
              </w:rPr>
              <w:t>10.3</w:t>
            </w:r>
          </w:p>
        </w:tc>
        <w:tc>
          <w:tcPr>
            <w:tcW w:w="320" w:type="dxa"/>
            <w:vAlign w:val="bottom"/>
          </w:tcPr>
          <w:p>
            <w:pPr>
              <w:spacing w:after="0"/>
              <w:rPr>
                <w:sz w:val="18"/>
                <w:szCs w:val="18"/>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Amended and Restated Registration</w:t>
              </w:r>
            </w:hyperlink>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rPr>
              <w:t>8-K</w:t>
            </w:r>
          </w:p>
        </w:tc>
        <w:tc>
          <w:tcPr>
            <w:tcW w:w="7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10.3</w:t>
            </w:r>
          </w:p>
        </w:tc>
        <w:tc>
          <w:tcPr>
            <w:tcW w:w="400" w:type="dxa"/>
            <w:vAlign w:val="bottom"/>
          </w:tcPr>
          <w:p>
            <w:pPr>
              <w:spacing w:after="0"/>
              <w:rPr>
                <w:sz w:val="18"/>
                <w:szCs w:val="18"/>
                <w:color w:val="auto"/>
              </w:rPr>
            </w:pPr>
          </w:p>
        </w:tc>
        <w:tc>
          <w:tcPr>
            <w:tcW w:w="134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November 3,</w:t>
            </w:r>
          </w:p>
        </w:tc>
        <w:tc>
          <w:tcPr>
            <w:tcW w:w="12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tcBorders>
              <w:top w:val="single" w:sz="8" w:color="0000EE"/>
            </w:tcBorders>
            <w:gridSpan w:val="21"/>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Rights Agreement, dated as of</w:t>
              </w:r>
            </w:hyperlink>
          </w:p>
        </w:tc>
        <w:tc>
          <w:tcPr>
            <w:tcW w:w="560" w:type="dxa"/>
            <w:vAlign w:val="bottom"/>
            <w:gridSpan w:val="9"/>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October 28, 2025, by and among</w:t>
              </w:r>
            </w:hyperlink>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Terrestrial Energy Inc., Cantor</w:t>
              </w:r>
            </w:hyperlink>
          </w:p>
        </w:tc>
        <w:tc>
          <w:tcPr>
            <w:tcW w:w="140" w:type="dxa"/>
            <w:vAlign w:val="bottom"/>
            <w:tcBorders>
              <w:top w:val="single" w:sz="8" w:color="0000EE"/>
            </w:tcBorders>
            <w:gridSpan w:val="3"/>
          </w:tcPr>
          <w:p>
            <w:pPr>
              <w:spacing w:after="0"/>
              <w:rPr>
                <w:sz w:val="18"/>
                <w:szCs w:val="18"/>
                <w:color w:val="auto"/>
              </w:rPr>
            </w:pPr>
          </w:p>
        </w:tc>
        <w:tc>
          <w:tcPr>
            <w:tcW w:w="780" w:type="dxa"/>
            <w:vAlign w:val="bottom"/>
            <w:gridSpan w:val="13"/>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Fitzgerald &amp; Co. and HCM Investor</w:t>
              </w:r>
            </w:hyperlink>
          </w:p>
        </w:tc>
        <w:tc>
          <w:tcPr>
            <w:tcW w:w="5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Holdings II, LLC.</w:t>
              </w:r>
            </w:hyperlink>
          </w:p>
        </w:tc>
        <w:tc>
          <w:tcPr>
            <w:tcW w:w="1800" w:type="dxa"/>
            <w:vAlign w:val="bottom"/>
            <w:gridSpan w:val="22"/>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10.4</w:t>
            </w:r>
          </w:p>
        </w:tc>
        <w:tc>
          <w:tcPr>
            <w:tcW w:w="3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24"/>
            <w:shd w:val="clear" w:color="auto" w:fill="CCEEFF"/>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Sponsor Support Agreement, by and</w:t>
              </w:r>
            </w:hyperlink>
          </w:p>
        </w:tc>
        <w:tc>
          <w:tcPr>
            <w:tcW w:w="500" w:type="dxa"/>
            <w:vAlign w:val="bottom"/>
            <w:tcBorders>
              <w:bottom w:val="single" w:sz="8" w:color="CCEEFF"/>
            </w:tcBorders>
            <w:gridSpan w:val="6"/>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S-4/A</w:t>
            </w:r>
          </w:p>
        </w:tc>
        <w:tc>
          <w:tcPr>
            <w:tcW w:w="760" w:type="dxa"/>
            <w:vAlign w:val="bottom"/>
            <w:tcBorders>
              <w:bottom w:val="single" w:sz="8" w:color="CCEEFF"/>
            </w:tcBorders>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10.2</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September 23,</w:t>
            </w:r>
          </w:p>
        </w:tc>
        <w:tc>
          <w:tcPr>
            <w:tcW w:w="128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333-288735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among HCM II Acquisition Corp.,</w:t>
              </w:r>
            </w:hyperlink>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gridSpan w:val="3"/>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HCM Investor Holdings II, LLC, and</w:t>
              </w:r>
            </w:hyperlink>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0000EE"/>
            </w:tcBorders>
            <w:gridSpan w:val="25"/>
            <w:shd w:val="clear" w:color="auto" w:fill="CCEEFF"/>
          </w:tcPr>
          <w:p>
            <w:pPr>
              <w:spacing w:after="0"/>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the other parties thereto</w:t>
              </w:r>
            </w:hyperlink>
          </w:p>
        </w:tc>
        <w:tc>
          <w:tcPr>
            <w:tcW w:w="460" w:type="dxa"/>
            <w:vAlign w:val="bottom"/>
            <w:tcBorders>
              <w:top w:val="single" w:sz="8" w:color="CCEEFF"/>
            </w:tcBorders>
            <w:gridSpan w:val="5"/>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10.5</w:t>
            </w:r>
          </w:p>
        </w:tc>
        <w:tc>
          <w:tcPr>
            <w:tcW w:w="320" w:type="dxa"/>
            <w:vAlign w:val="bottom"/>
          </w:tcPr>
          <w:p>
            <w:pPr>
              <w:spacing w:after="0"/>
              <w:rPr>
                <w:sz w:val="15"/>
                <w:szCs w:val="15"/>
                <w:color w:val="auto"/>
              </w:rPr>
            </w:pPr>
          </w:p>
        </w:tc>
        <w:tc>
          <w:tcPr>
            <w:tcW w:w="252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Sponsor Lock-Up Agreement, dated</w:t>
              </w:r>
            </w:hyperlink>
          </w:p>
        </w:tc>
        <w:tc>
          <w:tcPr>
            <w:tcW w:w="540" w:type="dxa"/>
            <w:vAlign w:val="bottom"/>
            <w:gridSpan w:val="8"/>
          </w:tcPr>
          <w:p>
            <w:pPr>
              <w:spacing w:after="0"/>
              <w:rPr>
                <w:sz w:val="15"/>
                <w:szCs w:val="15"/>
                <w:color w:val="auto"/>
              </w:rPr>
            </w:pPr>
          </w:p>
        </w:tc>
        <w:tc>
          <w:tcPr>
            <w:tcW w:w="1060" w:type="dxa"/>
            <w:vAlign w:val="bottom"/>
          </w:tcPr>
          <w:p>
            <w:pPr>
              <w:jc w:val="center"/>
              <w:ind w:right="136"/>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760" w:type="dxa"/>
            <w:vAlign w:val="bottom"/>
            <w:gridSpan w:val="2"/>
          </w:tcPr>
          <w:p>
            <w:pPr>
              <w:jc w:val="center"/>
              <w:ind w:left="55"/>
              <w:spacing w:after="0" w:line="183" w:lineRule="exact"/>
              <w:rPr>
                <w:sz w:val="20"/>
                <w:szCs w:val="20"/>
                <w:color w:val="auto"/>
              </w:rPr>
            </w:pPr>
            <w:r>
              <w:rPr>
                <w:rFonts w:ascii="Times New Roman" w:cs="Times New Roman" w:eastAsia="Times New Roman" w:hAnsi="Times New Roman"/>
                <w:sz w:val="17"/>
                <w:szCs w:val="17"/>
                <w:color w:val="auto"/>
              </w:rPr>
              <w:t>10.5</w:t>
            </w:r>
          </w:p>
        </w:tc>
        <w:tc>
          <w:tcPr>
            <w:tcW w:w="400" w:type="dxa"/>
            <w:vAlign w:val="bottom"/>
          </w:tcPr>
          <w:p>
            <w:pPr>
              <w:spacing w:after="0"/>
              <w:rPr>
                <w:sz w:val="15"/>
                <w:szCs w:val="15"/>
                <w:color w:val="auto"/>
              </w:rPr>
            </w:pPr>
          </w:p>
        </w:tc>
        <w:tc>
          <w:tcPr>
            <w:tcW w:w="134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November 3,</w:t>
            </w:r>
          </w:p>
        </w:tc>
        <w:tc>
          <w:tcPr>
            <w:tcW w:w="128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as of October 28, 2025, by and among</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Terrestrial Energy Inc. and HCM</w:t>
              </w:r>
            </w:hyperlink>
          </w:p>
        </w:tc>
        <w:tc>
          <w:tcPr>
            <w:tcW w:w="360" w:type="dxa"/>
            <w:vAlign w:val="bottom"/>
            <w:tcBorders>
              <w:top w:val="single" w:sz="8" w:color="0000EE"/>
            </w:tcBorders>
            <w:gridSpan w:val="9"/>
          </w:tcPr>
          <w:p>
            <w:pPr>
              <w:spacing w:after="0"/>
              <w:rPr>
                <w:sz w:val="17"/>
                <w:szCs w:val="17"/>
                <w:color w:val="auto"/>
              </w:rPr>
            </w:pPr>
          </w:p>
        </w:tc>
        <w:tc>
          <w:tcPr>
            <w:tcW w:w="40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Investor Holdings II, LLC.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10.6</w:t>
            </w:r>
          </w:p>
        </w:tc>
        <w:tc>
          <w:tcPr>
            <w:tcW w:w="320" w:type="dxa"/>
            <w:vAlign w:val="bottom"/>
            <w:shd w:val="clear" w:color="auto" w:fill="CCEEFF"/>
          </w:tcPr>
          <w:p>
            <w:pPr>
              <w:spacing w:after="0"/>
              <w:rPr>
                <w:sz w:val="17"/>
                <w:szCs w:val="17"/>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Form of Key Holders Lock-Up</w:t>
              </w:r>
            </w:hyperlink>
          </w:p>
        </w:tc>
        <w:tc>
          <w:tcPr>
            <w:tcW w:w="10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S-4/A</w:t>
            </w:r>
          </w:p>
        </w:tc>
        <w:tc>
          <w:tcPr>
            <w:tcW w:w="7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10.7</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September 23,</w:t>
            </w:r>
          </w:p>
        </w:tc>
        <w:tc>
          <w:tcPr>
            <w:tcW w:w="12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333-288735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gridSpan w:val="4"/>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740" w:type="dxa"/>
            <w:vAlign w:val="bottom"/>
            <w:gridSpan w:val="2"/>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EE"/>
            </w:tcBorders>
            <w:gridSpan w:val="23"/>
            <w:shd w:val="clear" w:color="auto" w:fill="CCEEFF"/>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Agreement, dated October 27, 2025,</w:t>
              </w:r>
            </w:hyperlink>
          </w:p>
        </w:tc>
        <w:tc>
          <w:tcPr>
            <w:tcW w:w="520" w:type="dxa"/>
            <w:vAlign w:val="bottom"/>
            <w:tcBorders>
              <w:bottom w:val="single" w:sz="8" w:color="CCEEFF"/>
            </w:tcBorders>
            <w:gridSpan w:val="7"/>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0000EE"/>
              <w:right w:val="single" w:sz="8" w:color="CCEEFF"/>
            </w:tcBorders>
            <w:gridSpan w:val="20"/>
            <w:shd w:val="clear" w:color="auto" w:fill="CCEEFF"/>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by and among HCM II Acquisition</w:t>
              </w:r>
            </w:hyperlink>
          </w:p>
        </w:tc>
        <w:tc>
          <w:tcPr>
            <w:tcW w:w="580" w:type="dxa"/>
            <w:vAlign w:val="bottom"/>
            <w:tcBorders>
              <w:bottom w:val="single" w:sz="8" w:color="CCEEFF"/>
            </w:tcBorders>
            <w:gridSpan w:val="10"/>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0000EE"/>
              <w:right w:val="single" w:sz="8" w:color="CCEEFF"/>
            </w:tcBorders>
            <w:gridSpan w:val="20"/>
            <w:shd w:val="clear" w:color="auto" w:fill="CCEEFF"/>
          </w:tcPr>
          <w:p>
            <w:pPr>
              <w:spacing w:after="0"/>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Corp. and the other parties thereto</w:t>
              </w:r>
            </w:hyperlink>
          </w:p>
        </w:tc>
        <w:tc>
          <w:tcPr>
            <w:tcW w:w="580" w:type="dxa"/>
            <w:vAlign w:val="bottom"/>
            <w:tcBorders>
              <w:bottom w:val="single" w:sz="8" w:color="CCEEFF"/>
            </w:tcBorders>
            <w:gridSpan w:val="10"/>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10.7</w:t>
            </w:r>
          </w:p>
        </w:tc>
        <w:tc>
          <w:tcPr>
            <w:tcW w:w="320" w:type="dxa"/>
            <w:vAlign w:val="bottom"/>
          </w:tcPr>
          <w:p>
            <w:pPr>
              <w:spacing w:after="0"/>
              <w:rPr>
                <w:sz w:val="15"/>
                <w:szCs w:val="15"/>
                <w:color w:val="auto"/>
              </w:rPr>
            </w:pPr>
          </w:p>
        </w:tc>
        <w:tc>
          <w:tcPr>
            <w:tcW w:w="3060" w:type="dxa"/>
            <w:vAlign w:val="bottom"/>
            <w:gridSpan w:val="30"/>
          </w:tcPr>
          <w:p>
            <w:pPr>
              <w:spacing w:after="0" w:line="183"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Second Amended and Restated</w:t>
              </w:r>
            </w:hyperlink>
          </w:p>
        </w:tc>
        <w:tc>
          <w:tcPr>
            <w:tcW w:w="1060" w:type="dxa"/>
            <w:vAlign w:val="bottom"/>
          </w:tcPr>
          <w:p>
            <w:pPr>
              <w:jc w:val="center"/>
              <w:ind w:right="136"/>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760" w:type="dxa"/>
            <w:vAlign w:val="bottom"/>
            <w:gridSpan w:val="2"/>
          </w:tcPr>
          <w:p>
            <w:pPr>
              <w:jc w:val="center"/>
              <w:ind w:left="55"/>
              <w:spacing w:after="0" w:line="183" w:lineRule="exact"/>
              <w:rPr>
                <w:sz w:val="20"/>
                <w:szCs w:val="20"/>
                <w:color w:val="auto"/>
              </w:rPr>
            </w:pPr>
            <w:r>
              <w:rPr>
                <w:rFonts w:ascii="Times New Roman" w:cs="Times New Roman" w:eastAsia="Times New Roman" w:hAnsi="Times New Roman"/>
                <w:sz w:val="17"/>
                <w:szCs w:val="17"/>
                <w:color w:val="auto"/>
              </w:rPr>
              <w:t>10.7</w:t>
            </w:r>
          </w:p>
        </w:tc>
        <w:tc>
          <w:tcPr>
            <w:tcW w:w="400" w:type="dxa"/>
            <w:vAlign w:val="bottom"/>
          </w:tcPr>
          <w:p>
            <w:pPr>
              <w:spacing w:after="0"/>
              <w:rPr>
                <w:sz w:val="15"/>
                <w:szCs w:val="15"/>
                <w:color w:val="auto"/>
              </w:rPr>
            </w:pPr>
          </w:p>
        </w:tc>
        <w:tc>
          <w:tcPr>
            <w:tcW w:w="134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November 3,</w:t>
            </w:r>
          </w:p>
        </w:tc>
        <w:tc>
          <w:tcPr>
            <w:tcW w:w="128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Exchange and Support Agreement</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tcBorders>
              <w:top w:val="single" w:sz="8" w:color="0000EE"/>
            </w:tcBorders>
            <w:gridSpan w:val="20"/>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dated October 28, 2025, by and</w:t>
              </w:r>
            </w:hyperlink>
          </w:p>
        </w:tc>
        <w:tc>
          <w:tcPr>
            <w:tcW w:w="58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among HCM Acquisition Corp.,</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EE"/>
            </w:tcBorders>
            <w:gridSpan w:val="26"/>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Terrestrial Energy Canada (Call) Inc.,</w:t>
              </w:r>
            </w:hyperlink>
          </w:p>
        </w:tc>
        <w:tc>
          <w:tcPr>
            <w:tcW w:w="44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and Terrestrial Energy Canada</w:t>
              </w:r>
            </w:hyperlink>
          </w:p>
        </w:tc>
        <w:tc>
          <w:tcPr>
            <w:tcW w:w="940" w:type="dxa"/>
            <w:vAlign w:val="bottom"/>
            <w:gridSpan w:val="17"/>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gridSpan w:val="30"/>
          </w:tcPr>
          <w:p>
            <w:pPr>
              <w:spacing w:after="0"/>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(Exchange) Inc.</w:t>
              </w:r>
            </w:hyperlink>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shd w:val="clear" w:color="auto" w:fill="CCEEFF"/>
          </w:tcPr>
          <w:p>
            <w:pPr>
              <w:spacing w:after="0"/>
              <w:rPr>
                <w:sz w:val="17"/>
                <w:szCs w:val="17"/>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Form of PIPE Subscription</w:t>
              </w:r>
            </w:hyperlink>
          </w:p>
        </w:tc>
        <w:tc>
          <w:tcPr>
            <w:tcW w:w="106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7"/>
                <w:szCs w:val="17"/>
                <w:color w:val="auto"/>
              </w:rPr>
              <w:t>S-4/A</w:t>
            </w:r>
          </w:p>
        </w:tc>
        <w:tc>
          <w:tcPr>
            <w:tcW w:w="7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4.8</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September 23,</w:t>
            </w:r>
          </w:p>
        </w:tc>
        <w:tc>
          <w:tcPr>
            <w:tcW w:w="12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333-288735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0000EE"/>
              <w:bottom w:val="single" w:sz="8" w:color="0000EE"/>
            </w:tcBorders>
            <w:gridSpan w:val="2"/>
            <w:shd w:val="clear" w:color="auto" w:fill="CCEEFF"/>
          </w:tcPr>
          <w:p>
            <w:pPr>
              <w:spacing w:after="0"/>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Agreement</w:t>
              </w:r>
            </w:hyperlink>
          </w:p>
        </w:tc>
        <w:tc>
          <w:tcPr>
            <w:tcW w:w="1100" w:type="dxa"/>
            <w:vAlign w:val="bottom"/>
            <w:tcBorders>
              <w:top w:val="single" w:sz="8" w:color="0000EE"/>
              <w:bottom w:val="single" w:sz="8" w:color="CCEEFF"/>
            </w:tcBorders>
            <w:gridSpan w:val="9"/>
            <w:shd w:val="clear" w:color="auto" w:fill="CCEEFF"/>
          </w:tcPr>
          <w:p>
            <w:pPr>
              <w:spacing w:after="0"/>
              <w:rPr>
                <w:sz w:val="20"/>
                <w:szCs w:val="20"/>
                <w:color w:val="auto"/>
              </w:rPr>
            </w:pPr>
          </w:p>
        </w:tc>
        <w:tc>
          <w:tcPr>
            <w:tcW w:w="1180" w:type="dxa"/>
            <w:vAlign w:val="bottom"/>
            <w:tcBorders>
              <w:top w:val="single" w:sz="8" w:color="CCEEFF"/>
              <w:bottom w:val="single" w:sz="8" w:color="CCEEFF"/>
            </w:tcBorders>
            <w:gridSpan w:val="19"/>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CCEEFF"/>
              <w:bottom w:val="single" w:sz="8" w:color="CCEEFF"/>
            </w:tcBorders>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10.9</w:t>
            </w:r>
          </w:p>
        </w:tc>
        <w:tc>
          <w:tcPr>
            <w:tcW w:w="320" w:type="dxa"/>
            <w:vAlign w:val="bottom"/>
          </w:tcPr>
          <w:p>
            <w:pPr>
              <w:ind w:left="1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3060" w:type="dxa"/>
            <w:vAlign w:val="bottom"/>
            <w:gridSpan w:val="30"/>
          </w:tcPr>
          <w:p>
            <w:pPr>
              <w:spacing w:after="0" w:line="183"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Terrestrial Energy Inc. 2025 Equity</w:t>
              </w:r>
            </w:hyperlink>
          </w:p>
        </w:tc>
        <w:tc>
          <w:tcPr>
            <w:tcW w:w="1060" w:type="dxa"/>
            <w:vAlign w:val="bottom"/>
          </w:tcPr>
          <w:p>
            <w:pPr>
              <w:jc w:val="center"/>
              <w:ind w:right="136"/>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760" w:type="dxa"/>
            <w:vAlign w:val="bottom"/>
            <w:gridSpan w:val="2"/>
          </w:tcPr>
          <w:p>
            <w:pPr>
              <w:jc w:val="center"/>
              <w:ind w:left="55"/>
              <w:spacing w:after="0" w:line="183" w:lineRule="exact"/>
              <w:rPr>
                <w:sz w:val="20"/>
                <w:szCs w:val="20"/>
                <w:color w:val="auto"/>
              </w:rPr>
            </w:pPr>
            <w:r>
              <w:rPr>
                <w:rFonts w:ascii="Times New Roman" w:cs="Times New Roman" w:eastAsia="Times New Roman" w:hAnsi="Times New Roman"/>
                <w:sz w:val="17"/>
                <w:szCs w:val="17"/>
                <w:color w:val="auto"/>
              </w:rPr>
              <w:t>10.9</w:t>
            </w:r>
          </w:p>
        </w:tc>
        <w:tc>
          <w:tcPr>
            <w:tcW w:w="400" w:type="dxa"/>
            <w:vAlign w:val="bottom"/>
          </w:tcPr>
          <w:p>
            <w:pPr>
              <w:spacing w:after="0"/>
              <w:rPr>
                <w:sz w:val="15"/>
                <w:szCs w:val="15"/>
                <w:color w:val="auto"/>
              </w:rPr>
            </w:pPr>
          </w:p>
        </w:tc>
        <w:tc>
          <w:tcPr>
            <w:tcW w:w="134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November 3,</w:t>
            </w:r>
          </w:p>
        </w:tc>
        <w:tc>
          <w:tcPr>
            <w:tcW w:w="1280" w:type="dxa"/>
            <w:vAlign w:val="bottom"/>
          </w:tcPr>
          <w:p>
            <w:pPr>
              <w:jc w:val="center"/>
              <w:ind w:right="15"/>
              <w:spacing w:after="0" w:line="183" w:lineRule="exact"/>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Incentive Plan</w:t>
              </w:r>
            </w:hyperlink>
          </w:p>
        </w:tc>
        <w:tc>
          <w:tcPr>
            <w:tcW w:w="1480" w:type="dxa"/>
            <w:vAlign w:val="bottom"/>
            <w:tcBorders>
              <w:top w:val="single" w:sz="8" w:color="0000EE"/>
            </w:tcBorders>
            <w:gridSpan w:val="16"/>
          </w:tcPr>
          <w:p>
            <w:pPr>
              <w:spacing w:after="0"/>
              <w:rPr>
                <w:sz w:val="18"/>
                <w:szCs w:val="18"/>
                <w:color w:val="auto"/>
              </w:rPr>
            </w:pPr>
          </w:p>
        </w:tc>
        <w:tc>
          <w:tcPr>
            <w:tcW w:w="580" w:type="dxa"/>
            <w:vAlign w:val="bottom"/>
            <w:gridSpan w:val="10"/>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10.10</w:t>
            </w:r>
          </w:p>
        </w:tc>
        <w:tc>
          <w:tcPr>
            <w:tcW w:w="3380" w:type="dxa"/>
            <w:vAlign w:val="bottom"/>
            <w:gridSpan w:val="31"/>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Form of Restricted Stock Unit Award</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0000EE"/>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rPr>
              <w:t>under 2025 Plan</w:t>
            </w:r>
          </w:p>
        </w:tc>
        <w:tc>
          <w:tcPr>
            <w:tcW w:w="1460" w:type="dxa"/>
            <w:vAlign w:val="bottom"/>
            <w:tcBorders>
              <w:top w:val="single" w:sz="8" w:color="0000EE"/>
              <w:bottom w:val="single" w:sz="8" w:color="CCEEFF"/>
            </w:tcBorders>
            <w:gridSpan w:val="19"/>
            <w:shd w:val="clear" w:color="auto" w:fill="CCEEFF"/>
          </w:tcPr>
          <w:p>
            <w:pPr>
              <w:spacing w:after="0"/>
              <w:rPr>
                <w:sz w:val="20"/>
                <w:szCs w:val="20"/>
                <w:color w:val="auto"/>
              </w:rPr>
            </w:pPr>
          </w:p>
        </w:tc>
        <w:tc>
          <w:tcPr>
            <w:tcW w:w="46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10.11</w:t>
            </w:r>
          </w:p>
        </w:tc>
        <w:tc>
          <w:tcPr>
            <w:tcW w:w="3380" w:type="dxa"/>
            <w:vAlign w:val="bottom"/>
            <w:gridSpan w:val="31"/>
          </w:tcPr>
          <w:p>
            <w:pPr>
              <w:ind w:left="60"/>
              <w:spacing w:after="0" w:line="1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Form of Stock Option Award under</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2025 Plan</w:t>
            </w:r>
          </w:p>
        </w:tc>
        <w:tc>
          <w:tcPr>
            <w:tcW w:w="1780" w:type="dxa"/>
            <w:vAlign w:val="bottom"/>
            <w:tcBorders>
              <w:top w:val="single" w:sz="8" w:color="0000EE"/>
            </w:tcBorders>
            <w:gridSpan w:val="19"/>
          </w:tcPr>
          <w:p>
            <w:pPr>
              <w:spacing w:after="0"/>
              <w:rPr>
                <w:sz w:val="18"/>
                <w:szCs w:val="18"/>
                <w:color w:val="auto"/>
              </w:rPr>
            </w:pPr>
          </w:p>
        </w:tc>
        <w:tc>
          <w:tcPr>
            <w:tcW w:w="580" w:type="dxa"/>
            <w:vAlign w:val="bottom"/>
            <w:gridSpan w:val="10"/>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10.12</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0000EE"/>
            </w:tcBorders>
            <w:gridSpan w:val="13"/>
            <w:shd w:val="clear" w:color="auto" w:fill="CCEEFF"/>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Terrestrial Energy Inc. Second</w:t>
              </w:r>
            </w:hyperlink>
          </w:p>
        </w:tc>
        <w:tc>
          <w:tcPr>
            <w:tcW w:w="940" w:type="dxa"/>
            <w:vAlign w:val="bottom"/>
            <w:tcBorders>
              <w:bottom w:val="single" w:sz="8" w:color="CCEEFF"/>
            </w:tcBorders>
            <w:gridSpan w:val="17"/>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S-8</w:t>
            </w:r>
          </w:p>
        </w:tc>
        <w:tc>
          <w:tcPr>
            <w:tcW w:w="760" w:type="dxa"/>
            <w:vAlign w:val="bottom"/>
            <w:tcBorders>
              <w:bottom w:val="single" w:sz="8" w:color="CCEEFF"/>
            </w:tcBorders>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10.2</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January 5, 2026</w:t>
            </w:r>
          </w:p>
        </w:tc>
        <w:tc>
          <w:tcPr>
            <w:tcW w:w="1280" w:type="dxa"/>
            <w:vAlign w:val="bottom"/>
            <w:tcBorders>
              <w:bottom w:val="single" w:sz="8" w:color="CCEEFF"/>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333-292571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Amended and Restated 2024 Stock</w:t>
              </w:r>
            </w:hyperlink>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0000EE"/>
              <w:bottom w:val="single" w:sz="8" w:color="0000EE"/>
            </w:tcBorders>
            <w:gridSpan w:val="3"/>
            <w:shd w:val="clear" w:color="auto" w:fill="CCEEFF"/>
          </w:tcPr>
          <w:p>
            <w:pPr>
              <w:spacing w:after="0"/>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Option Plan</w:t>
              </w:r>
            </w:hyperlink>
          </w:p>
        </w:tc>
        <w:tc>
          <w:tcPr>
            <w:tcW w:w="1640" w:type="dxa"/>
            <w:vAlign w:val="bottom"/>
            <w:tcBorders>
              <w:top w:val="single" w:sz="8" w:color="0000EE"/>
              <w:bottom w:val="single" w:sz="8" w:color="CCEEFF"/>
              <w:right w:val="single" w:sz="8" w:color="CCEEFF"/>
            </w:tcBorders>
            <w:gridSpan w:val="17"/>
            <w:shd w:val="clear" w:color="auto" w:fill="CCEEFF"/>
          </w:tcPr>
          <w:p>
            <w:pPr>
              <w:spacing w:after="0"/>
              <w:rPr>
                <w:sz w:val="19"/>
                <w:szCs w:val="19"/>
                <w:color w:val="auto"/>
              </w:rPr>
            </w:pPr>
          </w:p>
        </w:tc>
        <w:tc>
          <w:tcPr>
            <w:tcW w:w="580" w:type="dxa"/>
            <w:vAlign w:val="bottom"/>
            <w:tcBorders>
              <w:top w:val="single" w:sz="8" w:color="CCEEFF"/>
              <w:bottom w:val="single" w:sz="8" w:color="CCEEFF"/>
            </w:tcBorders>
            <w:gridSpan w:val="10"/>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10.13</w:t>
            </w:r>
          </w:p>
        </w:tc>
        <w:tc>
          <w:tcPr>
            <w:tcW w:w="3380" w:type="dxa"/>
            <w:vAlign w:val="bottom"/>
            <w:gridSpan w:val="31"/>
          </w:tcPr>
          <w:p>
            <w:pPr>
              <w:ind w:left="60"/>
              <w:spacing w:after="0" w:line="1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Form of Option Agreement under</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2024 Plan</w:t>
            </w:r>
          </w:p>
        </w:tc>
        <w:tc>
          <w:tcPr>
            <w:tcW w:w="1640" w:type="dxa"/>
            <w:vAlign w:val="bottom"/>
            <w:tcBorders>
              <w:top w:val="single" w:sz="8" w:color="0000EE"/>
            </w:tcBorders>
            <w:gridSpan w:val="18"/>
          </w:tcPr>
          <w:p>
            <w:pPr>
              <w:spacing w:after="0"/>
              <w:rPr>
                <w:sz w:val="18"/>
                <w:szCs w:val="18"/>
                <w:color w:val="auto"/>
              </w:rPr>
            </w:pPr>
          </w:p>
        </w:tc>
        <w:tc>
          <w:tcPr>
            <w:tcW w:w="720" w:type="dxa"/>
            <w:vAlign w:val="bottom"/>
            <w:gridSpan w:val="11"/>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10.14</w:t>
            </w:r>
          </w:p>
        </w:tc>
        <w:tc>
          <w:tcPr>
            <w:tcW w:w="3380" w:type="dxa"/>
            <w:vAlign w:val="bottom"/>
            <w:gridSpan w:val="31"/>
            <w:shd w:val="clear" w:color="auto" w:fill="CCEEFF"/>
          </w:tcPr>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144">
              <w:r>
                <w:rPr>
                  <w:rFonts w:ascii="Times New Roman" w:cs="Times New Roman" w:eastAsia="Times New Roman" w:hAnsi="Times New Roman"/>
                  <w:sz w:val="17"/>
                  <w:szCs w:val="17"/>
                  <w:color w:val="0000EE"/>
                </w:rPr>
                <w:t>Employment Agreement, dated as of</w:t>
              </w:r>
            </w:hyperlink>
          </w:p>
        </w:tc>
        <w:tc>
          <w:tcPr>
            <w:tcW w:w="106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8-K</w:t>
            </w:r>
          </w:p>
        </w:tc>
        <w:tc>
          <w:tcPr>
            <w:tcW w:w="7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w w:val="99"/>
              </w:rPr>
              <w:t>10.10</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November 3,</w:t>
            </w:r>
          </w:p>
        </w:tc>
        <w:tc>
          <w:tcPr>
            <w:tcW w:w="12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0000EE"/>
            </w:tcBorders>
            <w:gridSpan w:val="24"/>
            <w:shd w:val="clear" w:color="auto" w:fill="CCEEFF"/>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October 28, 2025, by and between</w:t>
              </w:r>
            </w:hyperlink>
          </w:p>
        </w:tc>
        <w:tc>
          <w:tcPr>
            <w:tcW w:w="500" w:type="dxa"/>
            <w:vAlign w:val="bottom"/>
            <w:tcBorders>
              <w:top w:val="single" w:sz="8" w:color="CCEEFF"/>
            </w:tcBorders>
            <w:gridSpan w:val="6"/>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2025</w:t>
            </w: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1280" w:type="dxa"/>
            <w:vAlign w:val="bottom"/>
            <w:tcBorders>
              <w:right w:val="single" w:sz="8" w:color="CCEEFF"/>
            </w:tcBorders>
            <w:gridSpan w:val="13"/>
            <w:shd w:val="clear" w:color="auto" w:fill="0000EE"/>
          </w:tcPr>
          <w:p>
            <w:pPr>
              <w:spacing w:after="0" w:line="20" w:lineRule="exact"/>
              <w:rPr>
                <w:sz w:val="1"/>
                <w:szCs w:val="1"/>
                <w:color w:val="auto"/>
              </w:rPr>
            </w:pPr>
          </w:p>
        </w:tc>
        <w:tc>
          <w:tcPr>
            <w:tcW w:w="580" w:type="dxa"/>
            <w:vAlign w:val="bottom"/>
            <w:gridSpan w:val="10"/>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60" w:type="dxa"/>
            <w:vAlign w:val="bottom"/>
            <w:gridSpan w:val="30"/>
            <w:shd w:val="clear" w:color="auto" w:fill="CCEEFF"/>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Simon Irish and Terrestrial Energy</w:t>
              </w:r>
            </w:hyperlink>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480" w:type="dxa"/>
            <w:vAlign w:val="bottom"/>
            <w:tcBorders>
              <w:top w:val="single" w:sz="8" w:color="0000EE"/>
              <w:right w:val="single" w:sz="8" w:color="CCEEFF"/>
            </w:tcBorders>
            <w:gridSpan w:val="20"/>
            <w:shd w:val="clear" w:color="auto" w:fill="CCEEFF"/>
          </w:tcPr>
          <w:p>
            <w:pPr>
              <w:spacing w:after="0"/>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Development Inc</w:t>
              </w:r>
              <w:r>
                <w:rPr>
                  <w:rFonts w:ascii="Times New Roman" w:cs="Times New Roman" w:eastAsia="Times New Roman" w:hAnsi="Times New Roman"/>
                  <w:sz w:val="17"/>
                  <w:szCs w:val="17"/>
                  <w:color w:val="000000"/>
                </w:rPr>
                <w:t>.</w:t>
              </w:r>
            </w:hyperlink>
          </w:p>
        </w:tc>
        <w:tc>
          <w:tcPr>
            <w:tcW w:w="580" w:type="dxa"/>
            <w:vAlign w:val="bottom"/>
            <w:tcBorders>
              <w:top w:val="single" w:sz="8" w:color="CCEEFF"/>
            </w:tcBorders>
            <w:gridSpan w:val="10"/>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right"/>
              <w:ind w:right="496"/>
              <w:spacing w:after="0"/>
              <w:rPr>
                <w:sz w:val="20"/>
                <w:szCs w:val="20"/>
                <w:color w:val="auto"/>
              </w:rPr>
            </w:pPr>
            <w:r>
              <w:rPr>
                <w:rFonts w:ascii="Times New Roman" w:cs="Times New Roman" w:eastAsia="Times New Roman" w:hAnsi="Times New Roman"/>
                <w:sz w:val="17"/>
                <w:szCs w:val="17"/>
                <w:color w:val="auto"/>
              </w:rPr>
              <w:t>76</w:t>
            </w: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9"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80" w:type="dxa"/>
            <w:vAlign w:val="bottom"/>
            <w:vMerge w:val="continue"/>
          </w:tcPr>
          <w:p>
            <w:pPr>
              <w:spacing w:after="0"/>
              <w:rPr>
                <w:sz w:val="13"/>
                <w:szCs w:val="13"/>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40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tcPr>
          <w:p>
            <w:pPr>
              <w:spacing w:after="0"/>
              <w:rPr>
                <w:sz w:val="13"/>
                <w:szCs w:val="13"/>
                <w:color w:val="auto"/>
              </w:rPr>
            </w:pPr>
          </w:p>
        </w:tc>
        <w:tc>
          <w:tcPr>
            <w:tcW w:w="1380" w:type="dxa"/>
            <w:vAlign w:val="bottom"/>
          </w:tcPr>
          <w:p>
            <w:pPr>
              <w:ind w:left="340"/>
              <w:spacing w:after="0" w:line="157"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0" w:type="dxa"/>
            <w:vAlign w:val="bottom"/>
          </w:tcPr>
          <w:p>
            <w:pPr>
              <w:spacing w:after="0"/>
              <w:rPr>
                <w:sz w:val="1"/>
                <w:szCs w:val="1"/>
                <w:color w:val="auto"/>
              </w:rPr>
            </w:pPr>
          </w:p>
        </w:tc>
      </w:tr>
      <w:tr>
        <w:trPr>
          <w:trHeight w:val="189"/>
        </w:trPr>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1"/>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 Filed with the SEC</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10.15</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1"/>
              </w:rPr>
              <w:t>Assignment,</w:t>
            </w:r>
          </w:p>
        </w:tc>
        <w:tc>
          <w:tcPr>
            <w:tcW w:w="920" w:type="dxa"/>
            <w:vAlign w:val="bottom"/>
            <w:tcBorders>
              <w:top w:val="single" w:sz="8" w:color="auto"/>
            </w:tcBorders>
            <w:gridSpan w:val="20"/>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Assumption, Waiver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Covenant Agreement,</w:t>
            </w:r>
          </w:p>
        </w:tc>
        <w:tc>
          <w:tcPr>
            <w:tcW w:w="20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dated as of February 18,</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2026, by and between</w:t>
            </w:r>
          </w:p>
        </w:tc>
        <w:tc>
          <w:tcPr>
            <w:tcW w:w="14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Simon Irish, Terrestrial</w:t>
            </w:r>
          </w:p>
        </w:tc>
        <w:tc>
          <w:tcPr>
            <w:tcW w:w="12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Energy Inc., and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9"/>
              </w:rPr>
              <w:t>Terrestrial Energy</w:t>
            </w:r>
          </w:p>
        </w:tc>
        <w:tc>
          <w:tcPr>
            <w:tcW w:w="48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Development Inc.</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10.16</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0000EE"/>
            </w:tcBorders>
            <w:gridSpan w:val="21"/>
            <w:shd w:val="clear" w:color="auto" w:fill="CCEEFF"/>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Form of Indemnification</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c>
          <w:tcPr>
            <w:tcW w:w="1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6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Agreement between</w:t>
              </w:r>
            </w:hyperlink>
          </w:p>
        </w:tc>
        <w:tc>
          <w:tcPr>
            <w:tcW w:w="340" w:type="dxa"/>
            <w:vAlign w:val="bottom"/>
            <w:tcBorders>
              <w:bottom w:val="single" w:sz="8" w:color="CCEEFF"/>
            </w:tcBorders>
            <w:gridSpan w:val="11"/>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18"/>
            <w:shd w:val="clear" w:color="auto" w:fill="CCEEFF"/>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New Terrestrial Energy</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gridSpan w:val="22"/>
            <w:shd w:val="clear" w:color="auto" w:fill="CCEEFF"/>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and each of its directors</w:t>
              </w:r>
            </w:hyperlink>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0000EE"/>
              <w:bottom w:val="single" w:sz="8" w:color="0000EE"/>
            </w:tcBorders>
            <w:gridSpan w:val="16"/>
            <w:shd w:val="clear" w:color="auto" w:fill="CCEEFF"/>
          </w:tcPr>
          <w:p>
            <w:pPr>
              <w:spacing w:after="0"/>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and executive officers.</w:t>
              </w:r>
            </w:hyperlink>
          </w:p>
        </w:tc>
        <w:tc>
          <w:tcPr>
            <w:tcW w:w="60" w:type="dxa"/>
            <w:vAlign w:val="bottom"/>
            <w:tcBorders>
              <w:top w:val="single" w:sz="8" w:color="0000EE"/>
              <w:bottom w:val="single" w:sz="8" w:color="CCEEFF"/>
            </w:tcBorders>
            <w:gridSpan w:val="3"/>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10.17</w:t>
            </w: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740" w:type="dxa"/>
            <w:vAlign w:val="bottom"/>
            <w:gridSpan w:val="22"/>
          </w:tcPr>
          <w:p>
            <w:pPr>
              <w:spacing w:after="0" w:line="183" w:lineRule="exact"/>
              <w:rPr>
                <w:sz w:val="20"/>
                <w:szCs w:val="20"/>
                <w:color w:val="auto"/>
              </w:rPr>
            </w:pPr>
            <w:r>
              <w:rPr>
                <w:rFonts w:ascii="Times New Roman" w:cs="Times New Roman" w:eastAsia="Times New Roman" w:hAnsi="Times New Roman"/>
                <w:sz w:val="17"/>
                <w:szCs w:val="17"/>
                <w:color w:val="0000EE"/>
              </w:rPr>
              <w:t>Non-Employee Director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Compensation Policy</w:t>
            </w:r>
          </w:p>
        </w:tc>
        <w:tc>
          <w:tcPr>
            <w:tcW w:w="180" w:type="dxa"/>
            <w:vAlign w:val="bottom"/>
            <w:tcBorders>
              <w:top w:val="single" w:sz="8" w:color="0000EE"/>
            </w:tcBorders>
            <w:gridSpan w:val="8"/>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19.1</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Terrestrial Energy Inc.</w:t>
            </w:r>
          </w:p>
        </w:tc>
        <w:tc>
          <w:tcPr>
            <w:tcW w:w="160" w:type="dxa"/>
            <w:vAlign w:val="bottom"/>
            <w:tcBorders>
              <w:bottom w:val="single" w:sz="8" w:color="CCEEFF"/>
            </w:tcBorders>
            <w:gridSpan w:val="7"/>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Insider Trading Policy</w:t>
            </w:r>
          </w:p>
        </w:tc>
        <w:tc>
          <w:tcPr>
            <w:tcW w:w="160" w:type="dxa"/>
            <w:vAlign w:val="bottom"/>
            <w:tcBorders>
              <w:bottom w:val="single" w:sz="8" w:color="CCEEFF"/>
            </w:tcBorders>
            <w:gridSpan w:val="7"/>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21.1</w:t>
            </w:r>
          </w:p>
        </w:tc>
        <w:tc>
          <w:tcPr>
            <w:tcW w:w="580" w:type="dxa"/>
            <w:vAlign w:val="bottom"/>
          </w:tcPr>
          <w:p>
            <w:pPr>
              <w:spacing w:after="0"/>
              <w:rPr>
                <w:sz w:val="15"/>
                <w:szCs w:val="15"/>
                <w:color w:val="auto"/>
              </w:rPr>
            </w:pPr>
          </w:p>
        </w:tc>
        <w:tc>
          <w:tcPr>
            <w:tcW w:w="1740" w:type="dxa"/>
            <w:vAlign w:val="bottom"/>
            <w:gridSpan w:val="22"/>
          </w:tcPr>
          <w:p>
            <w:pPr>
              <w:spacing w:after="0" w:line="183"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List of Subsidiaries of</w:t>
              </w:r>
            </w:hyperlink>
          </w:p>
        </w:tc>
        <w:tc>
          <w:tcPr>
            <w:tcW w:w="140" w:type="dxa"/>
            <w:vAlign w:val="bottom"/>
          </w:tcPr>
          <w:p>
            <w:pPr>
              <w:spacing w:after="0"/>
              <w:rPr>
                <w:sz w:val="15"/>
                <w:szCs w:val="15"/>
                <w:color w:val="auto"/>
              </w:rPr>
            </w:pPr>
          </w:p>
        </w:tc>
        <w:tc>
          <w:tcPr>
            <w:tcW w:w="11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8-K</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21.1</w:t>
            </w:r>
          </w:p>
        </w:tc>
        <w:tc>
          <w:tcPr>
            <w:tcW w:w="400" w:type="dxa"/>
            <w:vAlign w:val="bottom"/>
          </w:tcPr>
          <w:p>
            <w:pPr>
              <w:spacing w:after="0"/>
              <w:rPr>
                <w:sz w:val="15"/>
                <w:szCs w:val="15"/>
                <w:color w:val="auto"/>
              </w:rPr>
            </w:pPr>
          </w:p>
        </w:tc>
        <w:tc>
          <w:tcPr>
            <w:tcW w:w="21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November 3, 2025</w:t>
            </w:r>
          </w:p>
        </w:tc>
        <w:tc>
          <w:tcPr>
            <w:tcW w:w="1380" w:type="dxa"/>
            <w:vAlign w:val="bottom"/>
          </w:tcPr>
          <w:p>
            <w:pPr>
              <w:ind w:left="340"/>
              <w:spacing w:after="0" w:line="183" w:lineRule="exact"/>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Terrestrial Energy Inc.</w:t>
              </w:r>
            </w:hyperlink>
          </w:p>
        </w:tc>
        <w:tc>
          <w:tcPr>
            <w:tcW w:w="1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23.1</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0000EE"/>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Consent of UHY LLP</w:t>
            </w:r>
          </w:p>
        </w:tc>
        <w:tc>
          <w:tcPr>
            <w:tcW w:w="200" w:type="dxa"/>
            <w:vAlign w:val="bottom"/>
            <w:tcBorders>
              <w:bottom w:val="single" w:sz="8" w:color="CCEEFF"/>
            </w:tcBorders>
            <w:gridSpan w:val="9"/>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31.1</w:t>
            </w: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Certification by the</w:t>
            </w:r>
          </w:p>
        </w:tc>
        <w:tc>
          <w:tcPr>
            <w:tcW w:w="38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Chief Executive Officer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pursuant to Section 302</w:t>
            </w:r>
          </w:p>
        </w:tc>
        <w:tc>
          <w:tcPr>
            <w:tcW w:w="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rPr>
              <w:t>of the Sarbanes-Oxley</w:t>
            </w:r>
          </w:p>
        </w:tc>
        <w:tc>
          <w:tcPr>
            <w:tcW w:w="80" w:type="dxa"/>
            <w:vAlign w:val="bottom"/>
            <w:tcBorders>
              <w:top w:val="single" w:sz="8" w:color="0000EE"/>
            </w:tcBorders>
            <w:gridSpan w:val="4"/>
          </w:tcPr>
          <w:p>
            <w:pPr>
              <w:spacing w:after="0"/>
              <w:rPr>
                <w:sz w:val="18"/>
                <w:szCs w:val="18"/>
                <w:color w:val="auto"/>
              </w:rPr>
            </w:pPr>
          </w:p>
        </w:tc>
        <w:tc>
          <w:tcPr>
            <w:tcW w:w="1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Act of 2002</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31.2</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Certification by the</w:t>
            </w:r>
          </w:p>
        </w:tc>
        <w:tc>
          <w:tcPr>
            <w:tcW w:w="380" w:type="dxa"/>
            <w:vAlign w:val="bottom"/>
            <w:tcBorders>
              <w:bottom w:val="single" w:sz="8" w:color="CCEEFF"/>
            </w:tcBorders>
            <w:gridSpan w:val="1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Chief Financial Officer</w:t>
            </w:r>
          </w:p>
        </w:tc>
        <w:tc>
          <w:tcPr>
            <w:tcW w:w="120" w:type="dxa"/>
            <w:vAlign w:val="bottom"/>
            <w:tcBorders>
              <w:bottom w:val="single" w:sz="8" w:color="CCEEFF"/>
            </w:tcBorders>
            <w:gridSpan w:val="5"/>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pursuant to Section 302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of the Sarbanes-Oxley</w:t>
            </w:r>
          </w:p>
        </w:tc>
        <w:tc>
          <w:tcPr>
            <w:tcW w:w="8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Act of 2002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6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32.1</w:t>
            </w: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Certification by the</w:t>
            </w:r>
          </w:p>
        </w:tc>
        <w:tc>
          <w:tcPr>
            <w:tcW w:w="380" w:type="dxa"/>
            <w:vAlign w:val="bottom"/>
            <w:gridSpan w:val="13"/>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Chief Executive Officer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and Chief Financial</w:t>
            </w:r>
          </w:p>
        </w:tc>
        <w:tc>
          <w:tcPr>
            <w:tcW w:w="280" w:type="dxa"/>
            <w:vAlign w:val="bottom"/>
            <w:tcBorders>
              <w:top w:val="single" w:sz="8" w:color="0000EE"/>
            </w:tcBorders>
            <w:gridSpan w:val="9"/>
          </w:tcPr>
          <w:p>
            <w:pPr>
              <w:spacing w:after="0"/>
              <w:rPr>
                <w:sz w:val="17"/>
                <w:szCs w:val="17"/>
                <w:color w:val="auto"/>
              </w:rPr>
            </w:pPr>
          </w:p>
        </w:tc>
        <w:tc>
          <w:tcPr>
            <w:tcW w:w="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Officer pursuant to</w:t>
            </w:r>
          </w:p>
        </w:tc>
        <w:tc>
          <w:tcPr>
            <w:tcW w:w="420" w:type="dxa"/>
            <w:vAlign w:val="bottom"/>
            <w:gridSpan w:val="14"/>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Section 906 of the</w:t>
            </w:r>
          </w:p>
        </w:tc>
        <w:tc>
          <w:tcPr>
            <w:tcW w:w="460" w:type="dxa"/>
            <w:vAlign w:val="bottom"/>
            <w:gridSpan w:val="15"/>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0000EE"/>
              </w:rPr>
              <w:t>Sarbanes-Oxley Act of</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2002</w:t>
            </w: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97.1</w:t>
            </w:r>
          </w:p>
        </w:tc>
        <w:tc>
          <w:tcPr>
            <w:tcW w:w="5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Policy Relating to</w:t>
              </w:r>
            </w:hyperlink>
          </w:p>
        </w:tc>
        <w:tc>
          <w:tcPr>
            <w:tcW w:w="480" w:type="dxa"/>
            <w:vAlign w:val="bottom"/>
            <w:tcBorders>
              <w:bottom w:val="single" w:sz="8" w:color="CCEEFF"/>
            </w:tcBorders>
            <w:gridSpan w:val="16"/>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March 31, 2025</w:t>
            </w:r>
          </w:p>
        </w:tc>
        <w:tc>
          <w:tcPr>
            <w:tcW w:w="1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001-42252</w:t>
            </w:r>
          </w:p>
        </w:tc>
        <w:tc>
          <w:tcPr>
            <w:tcW w:w="0" w:type="dxa"/>
            <w:vAlign w:val="bottom"/>
          </w:tcPr>
          <w:p>
            <w:pPr>
              <w:spacing w:after="0"/>
              <w:rPr>
                <w:sz w:val="1"/>
                <w:szCs w:val="1"/>
                <w:color w:val="auto"/>
              </w:rPr>
            </w:pPr>
          </w:p>
        </w:tc>
      </w:tr>
      <w:tr>
        <w:trPr>
          <w:trHeight w:val="215"/>
        </w:trPr>
        <w:tc>
          <w:tcPr>
            <w:tcW w:w="6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7"/>
                <w:szCs w:val="17"/>
                <w:color w:val="0000EE"/>
                <w:w w:val="93"/>
              </w:rPr>
            </w:pPr>
            <w:hyperlink r:id="rId147">
              <w:r>
                <w:rPr>
                  <w:rFonts w:ascii="Times New Roman" w:cs="Times New Roman" w:eastAsia="Times New Roman" w:hAnsi="Times New Roman"/>
                  <w:sz w:val="17"/>
                  <w:szCs w:val="17"/>
                  <w:color w:val="0000EE"/>
                  <w:w w:val="93"/>
                </w:rPr>
                <w:t>Recovery of</w:t>
              </w:r>
            </w:hyperlink>
          </w:p>
        </w:tc>
        <w:tc>
          <w:tcPr>
            <w:tcW w:w="920" w:type="dxa"/>
            <w:vAlign w:val="bottom"/>
            <w:tcBorders>
              <w:left w:val="single" w:sz="8" w:color="CCEEFF"/>
              <w:bottom w:val="single" w:sz="8" w:color="CCEEFF"/>
            </w:tcBorders>
            <w:gridSpan w:val="20"/>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0000EE"/>
              <w:right w:val="single" w:sz="8" w:color="CCEEFF"/>
            </w:tcBorders>
            <w:gridSpan w:val="13"/>
            <w:shd w:val="clear" w:color="auto" w:fill="CCEEFF"/>
          </w:tcPr>
          <w:p>
            <w:pPr>
              <w:spacing w:after="0"/>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Erroneously Awarded</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gridSpan w:val="22"/>
            <w:shd w:val="clear" w:color="auto" w:fill="CCEEFF"/>
          </w:tcPr>
          <w:p>
            <w:pPr>
              <w:spacing w:after="0"/>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Compensation</w:t>
              </w:r>
            </w:hyperlink>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101.INS</w:t>
            </w:r>
          </w:p>
        </w:tc>
        <w:tc>
          <w:tcPr>
            <w:tcW w:w="5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tcPr>
          <w:p>
            <w:pPr>
              <w:spacing w:after="0" w:line="183" w:lineRule="exact"/>
              <w:rPr>
                <w:sz w:val="20"/>
                <w:szCs w:val="20"/>
                <w:color w:val="auto"/>
              </w:rPr>
            </w:pPr>
            <w:r>
              <w:rPr>
                <w:rFonts w:ascii="Times New Roman" w:cs="Times New Roman" w:eastAsia="Times New Roman" w:hAnsi="Times New Roman"/>
                <w:sz w:val="17"/>
                <w:szCs w:val="17"/>
                <w:color w:val="auto"/>
              </w:rPr>
              <w:t>Inline XBRL Instance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40" w:type="dxa"/>
            <w:vAlign w:val="bottom"/>
            <w:gridSpan w:val="22"/>
          </w:tcPr>
          <w:p>
            <w:pPr>
              <w:spacing w:after="0" w:line="235" w:lineRule="exact"/>
              <w:rPr>
                <w:sz w:val="20"/>
                <w:szCs w:val="20"/>
                <w:color w:val="auto"/>
              </w:rPr>
            </w:pPr>
            <w:r>
              <w:rPr>
                <w:rFonts w:ascii="Times New Roman" w:cs="Times New Roman" w:eastAsia="Times New Roman" w:hAnsi="Times New Roman"/>
                <w:sz w:val="17"/>
                <w:szCs w:val="17"/>
                <w:color w:val="auto"/>
              </w:rPr>
              <w:t>Document</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Extension Schema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Document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Extension Calculation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Extension Definition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Inline XBRL Taxonomy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Extension Label</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Extension Presentation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1320" w:right="6099" w:hanging="1267"/>
        <w:spacing w:after="0" w:line="265" w:lineRule="auto"/>
        <w:tabs>
          <w:tab w:leader="none" w:pos="983"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w:t>
      </w:r>
      <w:r>
        <w:rPr>
          <w:rFonts w:ascii="Times New Roman" w:cs="Times New Roman" w:eastAsia="Times New Roman" w:hAnsi="Times New Roman"/>
          <w:sz w:val="26"/>
          <w:szCs w:val="26"/>
          <w:color w:val="auto"/>
          <w:vertAlign w:val="superscript"/>
        </w:rPr>
        <w:t>(2)</w:t>
      </w:r>
    </w:p>
    <w:p>
      <w:pPr>
        <w:spacing w:after="0" w:line="75" w:lineRule="exact"/>
        <w:rPr>
          <w:rFonts w:ascii="Times New Roman" w:cs="Times New Roman" w:eastAsia="Times New Roman" w:hAnsi="Times New Roman"/>
          <w:sz w:val="17"/>
          <w:szCs w:val="17"/>
          <w:color w:val="auto"/>
        </w:rPr>
      </w:pPr>
    </w:p>
    <w:p>
      <w:pPr>
        <w:ind w:left="680" w:hanging="632"/>
        <w:spacing w:after="0"/>
        <w:tabs>
          <w:tab w:leader="none" w:pos="6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-252730</wp:posOffset>
            </wp:positionV>
            <wp:extent cx="5653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565340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-178435</wp:posOffset>
            </wp:positionV>
            <wp:extent cx="141732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1417320" cy="16510"/>
                    </a:xfrm>
                    <a:prstGeom prst="rect">
                      <a:avLst/>
                    </a:prstGeom>
                    <a:noFill/>
                  </pic:spPr>
                </pic:pic>
              </a:graphicData>
            </a:graphic>
          </wp:anchor>
        </w:drawing>
      </w:r>
    </w:p>
    <w:p>
      <w:pPr>
        <w:sectPr>
          <w:pgSz w:w="11900" w:h="16838" w:orient="portrait"/>
          <w:cols w:equalWidth="0" w:num="1">
            <w:col w:w="9019"/>
          </w:cols>
          <w:pgMar w:left="1440" w:top="500" w:right="1440" w:bottom="0" w:gutter="0" w:footer="0" w:header="0"/>
        </w:sectPr>
      </w:pPr>
    </w:p>
    <w:bookmarkStart w:id="113" w:name="page114"/>
    <w:bookmarkEnd w:id="113"/>
    <w:p>
      <w:pPr>
        <w:ind w:left="680" w:hanging="632"/>
        <w:spacing w:after="0"/>
        <w:tabs>
          <w:tab w:leader="none" w:pos="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60"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0" w:hanging="632"/>
        <w:spacing w:after="0"/>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57" w:lineRule="exact"/>
        <w:rPr>
          <w:sz w:val="20"/>
          <w:szCs w:val="20"/>
          <w:color w:val="auto"/>
        </w:rPr>
      </w:pPr>
    </w:p>
    <w:p>
      <w:pPr>
        <w:jc w:val="both"/>
        <w:ind w:left="680" w:right="79" w:hanging="632"/>
        <w:spacing w:after="0" w:line="275" w:lineRule="auto"/>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similar attachments to this Exhibit have been omitted in accordance with Item 601(a)(5) of Regulation S-K. The Company agrees to furnish supplementally a copy of any omitted exhibit or schedule to SEC upon its request.</w:t>
      </w:r>
    </w:p>
    <w:p>
      <w:pPr>
        <w:spacing w:after="0" w:line="98" w:lineRule="exact"/>
        <w:rPr>
          <w:sz w:val="20"/>
          <w:szCs w:val="20"/>
          <w:color w:val="auto"/>
        </w:rPr>
      </w:pPr>
    </w:p>
    <w:p>
      <w:pPr>
        <w:ind w:left="680" w:right="79" w:hanging="632"/>
        <w:spacing w:after="0" w:line="295" w:lineRule="auto"/>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instance document does not appear in the Interactive Data File because its XBRL tags are embedded within the Inline XBRL document</w:t>
      </w:r>
    </w:p>
    <w:p>
      <w:pPr>
        <w:spacing w:after="0" w:line="80" w:lineRule="exact"/>
        <w:rPr>
          <w:rFonts w:ascii="Times New Roman" w:cs="Times New Roman" w:eastAsia="Times New Roman" w:hAnsi="Times New Roman"/>
          <w:sz w:val="16"/>
          <w:szCs w:val="16"/>
          <w:color w:val="auto"/>
        </w:rPr>
      </w:pPr>
    </w:p>
    <w:p>
      <w:pPr>
        <w:ind w:left="680" w:hanging="632"/>
        <w:spacing w:after="0"/>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Formatted in Inline XBRL and contained in exhibit 101</w:t>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351790</wp:posOffset>
            </wp:positionV>
            <wp:extent cx="566166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8" w:lineRule="exact"/>
        <w:rPr>
          <w:sz w:val="20"/>
          <w:szCs w:val="20"/>
          <w:color w:val="auto"/>
        </w:rPr>
      </w:pPr>
    </w:p>
    <w:p>
      <w:pPr>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250" w:lineRule="exact"/>
        <w:rPr>
          <w:sz w:val="20"/>
          <w:szCs w:val="20"/>
          <w:color w:val="auto"/>
        </w:rPr>
      </w:pPr>
    </w:p>
    <w:tbl>
      <w:tblPr>
        <w:tblLayout w:type="fixed"/>
        <w:tblInd w:w="4740" w:type="dxa"/>
        <w:tblCellMar>
          <w:top w:w="0" w:type="dxa"/>
          <w:left w:w="0" w:type="dxa"/>
          <w:bottom w:w="0" w:type="dxa"/>
          <w:right w:w="0" w:type="dxa"/>
        </w:tblCellMar>
      </w:tblPr>
      <w:tr>
        <w:trPr>
          <w:trHeight w:val="227"/>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Brian Thrasher</w:t>
            </w:r>
          </w:p>
        </w:tc>
      </w:tr>
      <w:tr>
        <w:trPr>
          <w:trHeight w:val="208"/>
        </w:trPr>
        <w:tc>
          <w:tcPr>
            <w:tcW w:w="40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Brian Thrasher</w:t>
            </w:r>
          </w:p>
        </w:tc>
      </w:tr>
      <w:tr>
        <w:trPr>
          <w:trHeight w:val="222"/>
        </w:trPr>
        <w:tc>
          <w:tcPr>
            <w:tcW w:w="4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9"/>
        </w:trPr>
        <w:tc>
          <w:tcPr>
            <w:tcW w:w="400" w:type="dxa"/>
            <w:vAlign w:val="bottom"/>
          </w:tcPr>
          <w:p>
            <w:pPr>
              <w:spacing w:after="0"/>
              <w:rPr>
                <w:sz w:val="19"/>
                <w:szCs w:val="19"/>
                <w:color w:val="auto"/>
              </w:rPr>
            </w:pPr>
          </w:p>
        </w:tc>
        <w:tc>
          <w:tcPr>
            <w:tcW w:w="3800" w:type="dxa"/>
            <w:vAlign w:val="bottom"/>
          </w:tcPr>
          <w:p>
            <w:pPr>
              <w:ind w:left="9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Date: March 30, 2026</w:t>
      </w:r>
    </w:p>
    <w:p>
      <w:pPr>
        <w:spacing w:after="0" w:line="183" w:lineRule="exact"/>
        <w:rPr>
          <w:sz w:val="20"/>
          <w:szCs w:val="20"/>
          <w:color w:val="auto"/>
        </w:rPr>
      </w:pPr>
    </w:p>
    <w:p>
      <w:pPr>
        <w:jc w:val="both"/>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jc w:val="center"/>
              <w:ind w:right="94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68"/>
        </w:trPr>
        <w:tc>
          <w:tcPr>
            <w:tcW w:w="26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/s/ Simon Irish</w:t>
            </w:r>
          </w:p>
        </w:tc>
        <w:tc>
          <w:tcPr>
            <w:tcW w:w="140" w:type="dxa"/>
            <w:vAlign w:val="bottom"/>
          </w:tcPr>
          <w:p>
            <w:pPr>
              <w:spacing w:after="0"/>
              <w:rPr>
                <w:sz w:val="24"/>
                <w:szCs w:val="24"/>
                <w:color w:val="auto"/>
              </w:rPr>
            </w:pPr>
          </w:p>
        </w:tc>
        <w:tc>
          <w:tcPr>
            <w:tcW w:w="3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jc w:val="center"/>
              <w:ind w:right="315"/>
              <w:spacing w:after="0"/>
              <w:rPr>
                <w:sz w:val="20"/>
                <w:szCs w:val="20"/>
                <w:color w:val="auto"/>
              </w:rPr>
            </w:pPr>
            <w:r>
              <w:rPr>
                <w:rFonts w:ascii="Times New Roman" w:cs="Times New Roman" w:eastAsia="Times New Roman" w:hAnsi="Times New Roman"/>
                <w:sz w:val="17"/>
                <w:szCs w:val="17"/>
                <w:color w:val="auto"/>
              </w:rPr>
              <w:t>March 30, 2026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Simon Irish</w:t>
            </w:r>
          </w:p>
        </w:tc>
        <w:tc>
          <w:tcPr>
            <w:tcW w:w="14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Brian Thrasher</w:t>
            </w:r>
          </w:p>
        </w:tc>
        <w:tc>
          <w:tcPr>
            <w:tcW w:w="1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Brian Thrasher</w:t>
            </w:r>
          </w:p>
        </w:tc>
        <w:tc>
          <w:tcPr>
            <w:tcW w:w="14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Frederick Buckman</w:t>
            </w:r>
          </w:p>
        </w:tc>
        <w:tc>
          <w:tcPr>
            <w:tcW w:w="1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Frederick Buckman</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Shawn Matthews</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Shawn Matthews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Hugh MacDiarmid</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Hugh MacDiarmid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Hill</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Hill</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Charles Pardee</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Charles Pardee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Robert W. Jones</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Robert W. Jones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Johnson</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Johnson</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LeBlanc</w:t>
            </w:r>
          </w:p>
        </w:tc>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March 30, 2026</w:t>
            </w:r>
          </w:p>
        </w:tc>
        <w:tc>
          <w:tcPr>
            <w:tcW w:w="0" w:type="dxa"/>
            <w:vAlign w:val="bottom"/>
          </w:tcPr>
          <w:p>
            <w:pPr>
              <w:spacing w:after="0"/>
              <w:rPr>
                <w:sz w:val="1"/>
                <w:szCs w:val="1"/>
                <w:color w:val="auto"/>
              </w:rPr>
            </w:pPr>
          </w:p>
        </w:tc>
      </w:tr>
      <w:tr>
        <w:trPr>
          <w:trHeight w:val="220"/>
        </w:trPr>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LeBlanc</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1"/>
        </w:trPr>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20" w:type="dxa"/>
            <w:vAlign w:val="bottom"/>
          </w:tcPr>
          <w:p>
            <w:pPr>
              <w:jc w:val="right"/>
              <w:ind w:right="1442"/>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COMPOSITE CERTIFICATE OF INCORPORATION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amended through March 27,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name of the Corporation is Terrestrial Energy,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OFFICE AND AGENT</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address of the registered office of the Corporation in the State of Delaware is 1209 Orange Street, Wilmington, County of New Castle, Delaware 19801. The name of the registered agent of the Corporation in the State of Delaware at such address is The Corporation Trust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04" w:lineRule="exact"/>
        <w:rPr>
          <w:sz w:val="20"/>
          <w:szCs w:val="20"/>
          <w:color w:val="auto"/>
        </w:rPr>
      </w:pPr>
    </w:p>
    <w:p>
      <w:pPr>
        <w:ind w:left="320" w:hanging="315"/>
        <w:spacing w:after="0" w:line="295"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to have perpetual existence.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04" w:lineRule="exact"/>
        <w:rPr>
          <w:sz w:val="20"/>
          <w:szCs w:val="20"/>
          <w:color w:val="auto"/>
        </w:rPr>
      </w:pPr>
    </w:p>
    <w:p>
      <w:pPr>
        <w:ind w:left="320" w:right="20" w:hanging="315"/>
        <w:spacing w:after="0" w:line="295" w:lineRule="auto"/>
        <w:tabs>
          <w:tab w:leader="none" w:pos="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of all classes of stock that the Corporation shall have authority to issue is 501,000,000, which shall be divided into two classes as follows: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500,000,000 shares of common stock, par value $0.0001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1,000,000 shares of preferred stock, par value $0.0001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left="320" w:hanging="315"/>
        <w:spacing w:after="0" w:line="260"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is hereby expressly authorized, by resolution or resolutions, to provide, out of the unissued shares of Preferred Stock, for one or more series of Preferred Stock and, with respect to each such series, to fix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 Except as otherwise expressly provided in this Certificate of Incorporation (including any certificate of designation relating to any series of Preferred Stock (a “</w:t>
      </w:r>
      <w:r>
        <w:rPr>
          <w:rFonts w:ascii="Times New Roman" w:cs="Times New Roman" w:eastAsia="Times New Roman" w:hAnsi="Times New Roman"/>
          <w:sz w:val="17"/>
          <w:szCs w:val="17"/>
          <w:b w:val="1"/>
          <w:bCs w:val="1"/>
          <w:color w:val="auto"/>
        </w:rPr>
        <w:t>Preferred Stock Designation</w:t>
      </w:r>
      <w:r>
        <w:rPr>
          <w:rFonts w:ascii="Times New Roman" w:cs="Times New Roman" w:eastAsia="Times New Roman" w:hAnsi="Times New Roman"/>
          <w:sz w:val="17"/>
          <w:szCs w:val="17"/>
          <w:color w:val="auto"/>
        </w:rPr>
        <w:t>”)), no vote of the holders of shares of Preferred Stock or Common Stock shall be a prerequisite to the issuance of any shares of any series of the Preferred Stock so authorized in accordance with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wp:posOffset>
            </wp:positionV>
            <wp:extent cx="629158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17" w:name="page118"/>
    <w:bookmarkEnd w:id="117"/>
    <w:p>
      <w:pPr>
        <w:jc w:val="both"/>
        <w:ind w:left="315" w:hanging="315"/>
        <w:spacing w:after="0" w:line="261" w:lineRule="auto"/>
        <w:tabs>
          <w:tab w:leader="none" w:pos="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record of Common Stock, as such, shall have one vote for each share of Common Stock that is outstanding in his, her or its name on the books of the Corporation on all matters on which stockholders are entitled to vote generally. Except as otherwise required by law, holders of Common Stock shall not be entitled to vote on any amendment to this Certificate of Incorporation (including any Preferred Stock Designation)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 or pursuant to the DGCL.</w:t>
      </w:r>
    </w:p>
    <w:p>
      <w:pPr>
        <w:spacing w:after="0" w:line="179" w:lineRule="exact"/>
        <w:rPr>
          <w:rFonts w:ascii="Times New Roman" w:cs="Times New Roman" w:eastAsia="Times New Roman" w:hAnsi="Times New Roman"/>
          <w:sz w:val="17"/>
          <w:szCs w:val="17"/>
          <w:color w:val="auto"/>
        </w:rPr>
      </w:pPr>
    </w:p>
    <w:p>
      <w:pPr>
        <w:ind w:left="315" w:right="20" w:hanging="315"/>
        <w:spacing w:after="0" w:line="295" w:lineRule="auto"/>
        <w:tabs>
          <w:tab w:leader="none" w:pos="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holders of any series of Preferred Stock shall be entitled to only such voting rights, if any, as shall expressly be granted thereto by this Certificate of Incorporation (including any Preferred Stock Designation).</w:t>
      </w:r>
    </w:p>
    <w:p>
      <w:pPr>
        <w:spacing w:after="0" w:line="146" w:lineRule="exact"/>
        <w:rPr>
          <w:rFonts w:ascii="Times New Roman" w:cs="Times New Roman" w:eastAsia="Times New Roman" w:hAnsi="Times New Roman"/>
          <w:sz w:val="17"/>
          <w:szCs w:val="17"/>
          <w:color w:val="auto"/>
        </w:rPr>
      </w:pPr>
    </w:p>
    <w:p>
      <w:pPr>
        <w:jc w:val="both"/>
        <w:ind w:left="315" w:right="20" w:hanging="315"/>
        <w:spacing w:after="0" w:line="266" w:lineRule="auto"/>
        <w:tabs>
          <w:tab w:leader="none" w:pos="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and other distributions in cash, property or shares of stock of the Corporation, dividends and other distributions may be declared and paid ratably on the Common Stock out of the assets of the Corporation that are legally available for this purpose at such times and in such amounts as the Board of Directors in its discretion shall determine.</w:t>
      </w:r>
    </w:p>
    <w:p>
      <w:pPr>
        <w:spacing w:after="0" w:line="169" w:lineRule="exact"/>
        <w:rPr>
          <w:rFonts w:ascii="Times New Roman" w:cs="Times New Roman" w:eastAsia="Times New Roman" w:hAnsi="Times New Roman"/>
          <w:sz w:val="17"/>
          <w:szCs w:val="17"/>
          <w:color w:val="auto"/>
        </w:rPr>
      </w:pPr>
    </w:p>
    <w:p>
      <w:pPr>
        <w:jc w:val="both"/>
        <w:ind w:left="315" w:hanging="315"/>
        <w:spacing w:after="0" w:line="265" w:lineRule="auto"/>
        <w:tabs>
          <w:tab w:leader="none" w:pos="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382" w:lineRule="exact"/>
        <w:rPr>
          <w:rFonts w:ascii="Times New Roman" w:cs="Times New Roman" w:eastAsia="Times New Roman" w:hAnsi="Times New Roman"/>
          <w:sz w:val="17"/>
          <w:szCs w:val="17"/>
          <w:color w:val="auto"/>
        </w:rPr>
      </w:pPr>
    </w:p>
    <w:p>
      <w:pPr>
        <w:jc w:val="both"/>
        <w:ind w:left="315" w:hanging="315"/>
        <w:spacing w:after="0" w:line="265" w:lineRule="auto"/>
        <w:tabs>
          <w:tab w:leader="none" w:pos="3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on a one vote per share basis, and no vote of the holders of any of the Common Stock or the Preferred Stock voting separately as a class shall be required therefor, unless a vote of any such holder is required pursuant to this Certificate of Incorporation (including any Preferred Stock Designation).</w:t>
      </w:r>
    </w:p>
    <w:p>
      <w:pPr>
        <w:spacing w:after="0" w:line="38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AMENDMENT OF THE CERTIFICATE OF INCORPORATION AND BYLAWS</w:t>
      </w:r>
    </w:p>
    <w:p>
      <w:pPr>
        <w:spacing w:after="0" w:line="204" w:lineRule="exact"/>
        <w:rPr>
          <w:sz w:val="20"/>
          <w:szCs w:val="20"/>
          <w:color w:val="auto"/>
        </w:rPr>
      </w:pPr>
    </w:p>
    <w:p>
      <w:pPr>
        <w:jc w:val="both"/>
        <w:ind w:left="315" w:right="20" w:hanging="315"/>
        <w:spacing w:after="0" w:line="266" w:lineRule="auto"/>
        <w:tabs>
          <w:tab w:leader="none" w:pos="3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vote required by applicable law or this Certificate of Incorporation (including any Preferred Stock Designation), the amendment, alteration, repeal or rescission of, in whole or in part, or the adoption of any provision inconsistent with, the following provisions in this Certificate of Incorporation shall require the affirmative vote of the holders of at least 66⅔% in voting power of all the then-outstanding shares of stock of the Corporation entitled to vote thereon, voting together as a single class: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Section B of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629158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121" w:right="999" w:bottom="1440" w:gutter="0" w:footer="0" w:header="0"/>
        </w:sectPr>
      </w:pPr>
    </w:p>
    <w:bookmarkStart w:id="118" w:name="page119"/>
    <w:bookmarkEnd w:id="118"/>
    <w:p>
      <w:pPr>
        <w:jc w:val="both"/>
        <w:ind w:left="315" w:hanging="315"/>
        <w:spacing w:after="0" w:line="262" w:lineRule="auto"/>
        <w:tabs>
          <w:tab w:leader="none" w:pos="3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expressly authorized to make, repeal, alter, amend and rescind, in whole or in part, the bylaws of the Corporation (as in effect from time to time,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without the assent or vote of the stockholders in any manner not inconsistent with the laws of the State of Delaware or this Certificate of Incorporation. In addition to any vote of the holders of any class or series of capital stock of the Corporation required by this Certificate of Incorporation (including any Preferred Stock Designation), by the Bylaws or applicable law, the affirmative vote of the holders of at least 66⅔%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17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4" w:lineRule="exact"/>
        <w:rPr>
          <w:sz w:val="20"/>
          <w:szCs w:val="20"/>
          <w:color w:val="auto"/>
        </w:rPr>
      </w:pPr>
    </w:p>
    <w:p>
      <w:pPr>
        <w:jc w:val="both"/>
        <w:ind w:left="315" w:right="20" w:hanging="315"/>
        <w:spacing w:after="0" w:line="269"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Certificate of Incorporation or the DGCL, the business and affairs of the Corporation shall be managed by or under the direction of the Board of Directors. Subject to the rights of holders of any series of Preferred Stock to elect directors, the number of directors of the Corporation shall be fixed from time to time solely by resolution of the majority of the Board of Directors. No decrease in the number of directors constituting the Board of Directors shall shorten the term of any incumbent director.</w:t>
      </w:r>
    </w:p>
    <w:p>
      <w:pPr>
        <w:spacing w:after="0" w:line="167" w:lineRule="exact"/>
        <w:rPr>
          <w:rFonts w:ascii="Times New Roman" w:cs="Times New Roman" w:eastAsia="Times New Roman" w:hAnsi="Times New Roman"/>
          <w:sz w:val="17"/>
          <w:szCs w:val="17"/>
          <w:color w:val="auto"/>
        </w:rPr>
      </w:pPr>
    </w:p>
    <w:p>
      <w:pPr>
        <w:jc w:val="both"/>
        <w:ind w:left="315" w:right="20" w:hanging="315"/>
        <w:spacing w:after="0" w:line="269"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holders of any series of Preferred Stock to elect directors, the Board of Directors shall be and is divided into three classes, designated Class I, Class II and Class III. Each class shall consist, as nearly as may be possible, of one 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167" w:lineRule="exact"/>
        <w:rPr>
          <w:rFonts w:ascii="Times New Roman" w:cs="Times New Roman" w:eastAsia="Times New Roman" w:hAnsi="Times New Roman"/>
          <w:sz w:val="17"/>
          <w:szCs w:val="17"/>
          <w:color w:val="auto"/>
        </w:rPr>
      </w:pPr>
    </w:p>
    <w:p>
      <w:pPr>
        <w:jc w:val="both"/>
        <w:ind w:left="315" w:hanging="315"/>
        <w:spacing w:after="0" w:line="261"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rights granted to the holders of any one or more series of Preferred Stock then outstanding, each director shall serve for a term ending on the date of the third annual meeting of stockholders following the annual meeting of stockholders at which such director was elected;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the term of each director shall continue until the election and qualification of his or her successor and be subject to his or her earlier death, disqualification, resignation or removal.</w:t>
      </w:r>
    </w:p>
    <w:p>
      <w:pPr>
        <w:spacing w:after="0" w:line="387" w:lineRule="exact"/>
        <w:rPr>
          <w:rFonts w:ascii="Times New Roman" w:cs="Times New Roman" w:eastAsia="Times New Roman" w:hAnsi="Times New Roman"/>
          <w:sz w:val="17"/>
          <w:szCs w:val="17"/>
          <w:color w:val="auto"/>
        </w:rPr>
      </w:pPr>
    </w:p>
    <w:p>
      <w:pPr>
        <w:jc w:val="both"/>
        <w:ind w:left="315" w:right="20" w:hanging="315"/>
        <w:spacing w:after="0" w:line="264"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granted to the holders of any one or more series of Preferred Stock then outstanding, any newly created directorship on the Board of Directors that results from an increase in the number of directors and any vacancy occurring on the Board of Directors (whether by death, resignation, retirement, disqualification, removal or other cause) shall be filled only by a majority of the directors then in office, even if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71" w:lineRule="exact"/>
        <w:rPr>
          <w:rFonts w:ascii="Times New Roman" w:cs="Times New Roman" w:eastAsia="Times New Roman" w:hAnsi="Times New Roman"/>
          <w:sz w:val="17"/>
          <w:szCs w:val="17"/>
          <w:color w:val="auto"/>
        </w:rPr>
      </w:pPr>
    </w:p>
    <w:p>
      <w:pPr>
        <w:jc w:val="both"/>
        <w:ind w:left="315" w:hanging="315"/>
        <w:spacing w:after="0" w:line="275"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or the entire Board of Directors may be removed from office at any time, but only for cause and only by the affirmative vote of the holders of at least 66 2/3% in voting power of all the then outstanding shares of stock of the Corporation entitled to vote on the election of such director, voting together as a single class.</w:t>
      </w:r>
    </w:p>
    <w:p>
      <w:pPr>
        <w:spacing w:after="0" w:line="163" w:lineRule="exact"/>
        <w:rPr>
          <w:rFonts w:ascii="Times New Roman" w:cs="Times New Roman" w:eastAsia="Times New Roman" w:hAnsi="Times New Roman"/>
          <w:sz w:val="17"/>
          <w:szCs w:val="17"/>
          <w:color w:val="auto"/>
        </w:rPr>
      </w:pPr>
    </w:p>
    <w:p>
      <w:pPr>
        <w:ind w:left="315" w:hanging="315"/>
        <w:spacing w:after="0"/>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Elections of directors need not be by written ballot unless the Bylaws shall so provide.</w:t>
      </w:r>
    </w:p>
    <w:p>
      <w:pPr>
        <w:spacing w:after="0" w:line="222" w:lineRule="exact"/>
        <w:rPr>
          <w:rFonts w:ascii="Times New Roman" w:cs="Times New Roman" w:eastAsia="Times New Roman" w:hAnsi="Times New Roman"/>
          <w:sz w:val="17"/>
          <w:szCs w:val="17"/>
          <w:color w:val="auto"/>
        </w:rPr>
      </w:pPr>
    </w:p>
    <w:p>
      <w:pPr>
        <w:ind w:left="315" w:hanging="315"/>
        <w:spacing w:after="0" w:line="295"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Bylaws, the Board of Directors may establish one or more committees to which may be delegated any or all of the powers and duties of the Board of Directors to the full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568325</wp:posOffset>
            </wp:positionV>
            <wp:extent cx="629158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121" w:right="999" w:bottom="1440" w:gutter="0" w:footer="0" w:header="0"/>
        </w:sectPr>
      </w:pPr>
    </w:p>
    <w:bookmarkStart w:id="119" w:name="page120"/>
    <w:bookmarkEnd w:id="119"/>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LIMITATION OF DIRECTOR AND OFFICER LIABILITY</w:t>
      </w:r>
    </w:p>
    <w:p>
      <w:pPr>
        <w:spacing w:after="0" w:line="204" w:lineRule="exact"/>
        <w:rPr>
          <w:sz w:val="20"/>
          <w:szCs w:val="20"/>
          <w:color w:val="auto"/>
        </w:rPr>
      </w:pPr>
    </w:p>
    <w:p>
      <w:pPr>
        <w:jc w:val="both"/>
        <w:ind w:left="315" w:hanging="315"/>
        <w:spacing w:after="0" w:line="266" w:lineRule="auto"/>
        <w:tabs>
          <w:tab w:leader="none" w:pos="3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the DGCL as it now exists or may hereafter be amended, a director or officer of the Corporation shall not be personally liable to the Corporation or its stockholders for monetary damages for any breach of fiduciary duty owed to the Corporation or its stockholders. If the DGCL is hereafter amended to authorize corporate action further eliminating or limiting the personal liability of directors or officers, then the liability of a director or officer of the Corporation shall be eliminated or limited to the fullest extent permitted by the DGCL as so amended, automatically and without further action, upon the date of such amendment.</w:t>
      </w:r>
    </w:p>
    <w:p>
      <w:pPr>
        <w:spacing w:after="0" w:line="169" w:lineRule="exact"/>
        <w:rPr>
          <w:rFonts w:ascii="Times New Roman" w:cs="Times New Roman" w:eastAsia="Times New Roman" w:hAnsi="Times New Roman"/>
          <w:sz w:val="17"/>
          <w:szCs w:val="17"/>
          <w:color w:val="auto"/>
        </w:rPr>
      </w:pPr>
    </w:p>
    <w:p>
      <w:pPr>
        <w:jc w:val="both"/>
        <w:ind w:left="315" w:right="20" w:hanging="315"/>
        <w:spacing w:after="0" w:line="266" w:lineRule="auto"/>
        <w:tabs>
          <w:tab w:leader="none" w:pos="3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applicable law, the Corporation is authorized to provide indemnification of (and advancement of expenses to) directors, officers and agents of the Corporation (and any other persons to which applicable law permits the Corporation to provide indemnification and advancement of expenses) through provisions of the Bylaws, agreements with such persons, vote of stockholders or disinterested directors, or otherwise. Any repeal or modification of this provision shall not adversely affect any right or protection hereunder of any person in respect of any act or omission occurring prior to the time of such repeal or modification.</w:t>
      </w:r>
    </w:p>
    <w:p>
      <w:pPr>
        <w:spacing w:after="0" w:line="169" w:lineRule="exact"/>
        <w:rPr>
          <w:rFonts w:ascii="Times New Roman" w:cs="Times New Roman" w:eastAsia="Times New Roman" w:hAnsi="Times New Roman"/>
          <w:sz w:val="17"/>
          <w:szCs w:val="17"/>
          <w:color w:val="auto"/>
        </w:rPr>
      </w:pPr>
    </w:p>
    <w:p>
      <w:pPr>
        <w:jc w:val="both"/>
        <w:ind w:left="315" w:right="20" w:hanging="315"/>
        <w:spacing w:after="0" w:line="273" w:lineRule="auto"/>
        <w:tabs>
          <w:tab w:leader="none" w:pos="3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amendment nor repeal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nor the adoption of any provision of this Certificate of Incorporation, nor, to the fullest extent permitted by the DGCL, any modification of law shall eliminate, reduce or otherwise adversely affect any right or protection of a current or former director or officer of the Corporation existing at the time of such amendment, repeal, adoption or modification.</w:t>
      </w:r>
    </w:p>
    <w:p>
      <w:pPr>
        <w:spacing w:after="0" w:line="37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CONSENT OF STOCKHOLDERS IN LIEU OF MEETING, ANNUAL AND SPECIAL</w:t>
      </w:r>
    </w:p>
    <w:p>
      <w:pPr>
        <w:spacing w:after="0" w:line="1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MEETINGS OF STOCKHOLDERS</w:t>
      </w:r>
    </w:p>
    <w:p>
      <w:pPr>
        <w:spacing w:after="0" w:line="204" w:lineRule="exact"/>
        <w:rPr>
          <w:sz w:val="20"/>
          <w:szCs w:val="20"/>
          <w:color w:val="auto"/>
        </w:rPr>
      </w:pPr>
    </w:p>
    <w:p>
      <w:pPr>
        <w:jc w:val="both"/>
        <w:ind w:left="315" w:hanging="315"/>
        <w:spacing w:after="0" w:line="266" w:lineRule="auto"/>
        <w:tabs>
          <w:tab w:leader="none" w:pos="3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action required or permitted to be taken by the stockholders of the Corporation must be effected at a duly called annual or special meeting of such holders and may not be effected by any consent in lieu of a meeting of stockholders by such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spacing w:after="0" w:line="169" w:lineRule="exact"/>
        <w:rPr>
          <w:rFonts w:ascii="Times New Roman" w:cs="Times New Roman" w:eastAsia="Times New Roman" w:hAnsi="Times New Roman"/>
          <w:sz w:val="17"/>
          <w:szCs w:val="17"/>
          <w:color w:val="auto"/>
        </w:rPr>
      </w:pPr>
    </w:p>
    <w:p>
      <w:pPr>
        <w:jc w:val="both"/>
        <w:ind w:left="315" w:right="20" w:hanging="315"/>
        <w:spacing w:after="0" w:line="269" w:lineRule="auto"/>
        <w:tabs>
          <w:tab w:leader="none" w:pos="3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required by law and subject to the rights of the holders of any series of Preferred Stock, special meetings of the stockholders of the Corporation for any purpose or purposes may be called at any time only by the Chief Executive Officer, the President, the Board of Directors, the Chairperson of the Board of Directors, or any other person designated by the Board of Directors, but such special meetings may not be called by stockholders or any other person or persons.</w:t>
      </w:r>
    </w:p>
    <w:p>
      <w:pPr>
        <w:spacing w:after="0" w:line="167" w:lineRule="exact"/>
        <w:rPr>
          <w:rFonts w:ascii="Times New Roman" w:cs="Times New Roman" w:eastAsia="Times New Roman" w:hAnsi="Times New Roman"/>
          <w:sz w:val="17"/>
          <w:szCs w:val="17"/>
          <w:color w:val="auto"/>
        </w:rPr>
      </w:pPr>
    </w:p>
    <w:p>
      <w:pPr>
        <w:jc w:val="both"/>
        <w:ind w:left="315" w:hanging="315"/>
        <w:spacing w:after="0" w:line="275" w:lineRule="auto"/>
        <w:tabs>
          <w:tab w:leader="none" w:pos="3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adopted by the Board or a duly authorized committee thereof.</w:t>
      </w:r>
    </w:p>
    <w:p>
      <w:pPr>
        <w:spacing w:after="0" w:line="16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629158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119" w:right="999" w:bottom="1440" w:gutter="0" w:footer="0" w:header="0"/>
        </w:sectPr>
      </w:pPr>
    </w:p>
    <w:bookmarkStart w:id="120" w:name="page121"/>
    <w:bookmarkEnd w:id="120"/>
    <w:p>
      <w:pPr>
        <w:jc w:val="both"/>
        <w:ind w:left="320" w:right="20" w:hanging="315"/>
        <w:spacing w:after="0" w:line="261"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law, in any way be affected or impaired thereby and (ii) to the fullest extent permitted by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75" w:lineRule="exact"/>
        <w:rPr>
          <w:rFonts w:ascii="Times New Roman" w:cs="Times New Roman" w:eastAsia="Times New Roman" w:hAnsi="Times New Roman"/>
          <w:sz w:val="17"/>
          <w:szCs w:val="17"/>
          <w:color w:val="auto"/>
        </w:rPr>
      </w:pPr>
    </w:p>
    <w:p>
      <w:pPr>
        <w:jc w:val="both"/>
        <w:ind w:left="320" w:hanging="315"/>
        <w:spacing w:after="0" w:line="259"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Corporation consents in writing to the selection of an alternative forum, the Court of Chancery of the State of Delaware (or if such court does not have subject matter jurisdiction another state or federal court (as appropriate) located within the State of Delaware) shall, to the fullest extent permitted by law, be the sole and exclusive forum for (i) any derivative action or proceeding brought on behalf of the Corporation, (ii) any action asserting a claim of breach of a fiduciary duty owed by any current or former director, officer or other employee or stockholder of the Corporation to the Corporation or the Corporation’s stockholders, creditors or other constituents, (iii) any action asserting a claim against the Corporation or any current or former director or officer of the Corporation arising pursuant to any provision of the DGCL or this Certificate of Incorporation or the Bylaws (as either may be amended and/or restated from time to time), (iv) any action asserting a claim governed by the internal affairs doctrine, or (v) any action as to which the DGCL confers jurisdiction on the Court of Chancery of the State of Delaware, except for any action asserted to enforce any liability or duty created by the Securities Exchange Act of 1934, as amended, or, in each case, rules and regulations promulgated thereunder, for which there is exclusive federal jurisdiction. Unless the Corporation consents in writing to the selection of an alternative forum, the federal district courts of the United States of America shall be, to the fullest extent permitted by law, the sole and exclusive forum for any action asserting a claim arising under the Securities Act of 1933.</w:t>
      </w:r>
    </w:p>
    <w:p>
      <w:pPr>
        <w:spacing w:after="0" w:line="182" w:lineRule="exact"/>
        <w:rPr>
          <w:sz w:val="20"/>
          <w:szCs w:val="20"/>
          <w:color w:val="auto"/>
        </w:rPr>
      </w:pPr>
    </w:p>
    <w:p>
      <w:pPr>
        <w:ind w:left="640"/>
        <w:spacing w:after="0" w:line="295" w:lineRule="auto"/>
        <w:rPr>
          <w:sz w:val="20"/>
          <w:szCs w:val="20"/>
          <w:color w:val="auto"/>
        </w:rPr>
      </w:pPr>
      <w:r>
        <w:rPr>
          <w:rFonts w:ascii="Times New Roman" w:cs="Times New Roman" w:eastAsia="Times New Roman" w:hAnsi="Times New Roman"/>
          <w:sz w:val="17"/>
          <w:szCs w:val="17"/>
          <w:color w:val="auto"/>
        </w:rPr>
        <w:t xml:space="preserve">To the fullest extent permitted by law, any person or entity purchasing or otherwise acquiring or holding any interest in shares of capital stock of the Corporation shall be deemed to have notice of and consented to the provisions of Section B of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C.</w:t>
        <w:tab/>
        <w:t>The name and mailing address of the sole incorporator is as follows:</w:t>
      </w:r>
    </w:p>
    <w:p>
      <w:pPr>
        <w:spacing w:after="0" w:line="2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Shawn Matthews</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100 First Stamford Pl,</w:t>
      </w:r>
    </w:p>
    <w:p>
      <w:pPr>
        <w:spacing w:after="0" w:line="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Stamford, CT 06902</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618490</wp:posOffset>
            </wp:positionV>
            <wp:extent cx="629158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spacing w:after="0" w:line="297"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HCM II Acquisition Corp. has caused this Certificate of Incorporation to be executed by its Incorporator on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 October 23, 2025.</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HCM II Acquisition Corp.</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Shawn Matthews</w:t>
            </w:r>
          </w:p>
        </w:tc>
      </w:tr>
      <w:tr>
        <w:trPr>
          <w:trHeight w:val="220"/>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9320" w:type="dxa"/>
            <w:vAlign w:val="bottom"/>
          </w:tcPr>
          <w:p>
            <w:pPr>
              <w:spacing w:after="0"/>
              <w:rPr>
                <w:sz w:val="20"/>
                <w:szCs w:val="20"/>
                <w:color w:val="auto"/>
              </w:rPr>
            </w:pPr>
            <w:r>
              <w:rPr>
                <w:rFonts w:ascii="Times New Roman" w:cs="Times New Roman" w:eastAsia="Times New Roman" w:hAnsi="Times New Roman"/>
                <w:sz w:val="17"/>
                <w:szCs w:val="17"/>
                <w:color w:val="auto"/>
              </w:rPr>
              <w:t>Shawn Matthews, Incorporator</w:t>
            </w:r>
          </w:p>
        </w:tc>
      </w:tr>
      <w:tr>
        <w:trPr>
          <w:trHeight w:val="732"/>
        </w:trPr>
        <w:tc>
          <w:tcPr>
            <w:tcW w:w="58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COMPOSITE BYLAWS</w:t>
      </w:r>
    </w:p>
    <w:p>
      <w:pPr>
        <w:spacing w:after="0" w:line="2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(as amended through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617220</wp:posOffset>
            </wp:positionV>
            <wp:extent cx="629158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460"/>
          </w:cols>
          <w:pgMar w:left="1440" w:top="119" w:right="9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MEETINGS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Time and Place of Meetings.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Annual Meetings.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Special Meetings.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Notice of Meetings.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Inspectors.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Quorum.</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Voting List.</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Voting; Proxies.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9.</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Order of Business.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Notice of Stockholder Proposals.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11.</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Notice of Directors Nominations.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Additional Provisions Relating to the Notice of Stockholder Business and Director Nominations.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13.</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Record Dates.</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14.</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Recesses and Adjournments.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15.</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Function.</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16.</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Number, Election and Terms.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17.</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Removal.</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18.</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Resignation.</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19.</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Regular Meetings.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20.</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Special Meetings.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21.</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Quorum; Voting.</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22.</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Participation in Meetings by Remote Communications.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23.</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Committees.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24.</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Compensation.</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25.</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Rules.</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26.</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Chairperson; Vice Chairperson.</w:t>
            </w:r>
          </w:p>
        </w:tc>
        <w:tc>
          <w:tcPr>
            <w:tcW w:w="1520" w:type="dxa"/>
            <w:vAlign w:val="bottom"/>
            <w:shd w:val="clear" w:color="auto" w:fill="CCEEFF"/>
          </w:tcPr>
          <w:p>
            <w:pPr>
              <w:jc w:val="center"/>
              <w:ind w:left="119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27.</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Indemnification.</w:t>
            </w:r>
          </w:p>
        </w:tc>
        <w:tc>
          <w:tcPr>
            <w:tcW w:w="1520" w:type="dxa"/>
            <w:vAlign w:val="bottom"/>
          </w:tcPr>
          <w:p>
            <w:pPr>
              <w:jc w:val="center"/>
              <w:ind w:left="119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NOTICES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28.</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Generally.</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29.</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Waivers.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OFFICERS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30.</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Generally.</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Compensation.</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32.</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Succession.</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33.</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Authority and Duties.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34.</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Certificates.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8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Lost, Stolen or Destroyed Certificates.</w:t>
            </w:r>
          </w:p>
        </w:tc>
        <w:tc>
          <w:tcPr>
            <w:tcW w:w="1520" w:type="dxa"/>
            <w:vAlign w:val="bottom"/>
            <w:shd w:val="clear" w:color="auto" w:fill="CCEEFF"/>
          </w:tcPr>
          <w:p>
            <w:pPr>
              <w:jc w:val="center"/>
              <w:ind w:left="11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36.</w:t>
            </w:r>
          </w:p>
        </w:tc>
        <w:tc>
          <w:tcPr>
            <w:tcW w:w="8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Transfers</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gridSpan w:val="2"/>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GENERAL</w:t>
            </w:r>
          </w:p>
        </w:tc>
        <w:tc>
          <w:tcPr>
            <w:tcW w:w="1520" w:type="dxa"/>
            <w:vAlign w:val="bottom"/>
          </w:tcPr>
          <w:p>
            <w:pPr>
              <w:jc w:val="center"/>
              <w:ind w:left="1173"/>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941"/>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45" w:right="999" w:bottom="1440" w:gutter="0" w:footer="0" w:header="0"/>
        </w:sectPr>
      </w:pPr>
    </w:p>
    <w:bookmarkStart w:id="124" w:name="page125"/>
    <w:bookmarkEnd w:id="12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0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09"/>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Fiscal Year.</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9"/>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Reliance upon Books, Reports and Records.</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9"/>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Amendments.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9"/>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Severability</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7"/>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6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Certain Defined Terms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STOCKHOLDERS MEETINGS</w:t>
      </w:r>
    </w:p>
    <w:p>
      <w:pPr>
        <w:spacing w:after="0" w:line="222" w:lineRule="exact"/>
        <w:rPr>
          <w:sz w:val="20"/>
          <w:szCs w:val="20"/>
          <w:color w:val="auto"/>
        </w:rPr>
      </w:pPr>
    </w:p>
    <w:p>
      <w:pPr>
        <w:jc w:val="both"/>
        <w:ind w:firstLine="632"/>
        <w:spacing w:after="0" w:line="262"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 and Place of Meetings</w:t>
      </w:r>
      <w:r>
        <w:rPr>
          <w:rFonts w:ascii="Times New Roman" w:cs="Times New Roman" w:eastAsia="Times New Roman" w:hAnsi="Times New Roman"/>
          <w:sz w:val="17"/>
          <w:szCs w:val="17"/>
          <w:color w:val="auto"/>
        </w:rPr>
        <w:t>. All meetings of stockholders will be held at such time and place, within or without the State of Delaware, as may be designated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Terrestrial Energy Inc., a Delaware corporation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from time to time in such manner as set forth in the Corporation’s Certificate of Incorporation (the “</w:t>
      </w:r>
      <w:r>
        <w:rPr>
          <w:rFonts w:ascii="Times New Roman" w:cs="Times New Roman" w:eastAsia="Times New Roman" w:hAnsi="Times New Roman"/>
          <w:sz w:val="17"/>
          <w:szCs w:val="17"/>
          <w:b w:val="1"/>
          <w:bCs w:val="1"/>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Incorporation</w:t>
      </w:r>
      <w:r>
        <w:rPr>
          <w:rFonts w:ascii="Times New Roman" w:cs="Times New Roman" w:eastAsia="Times New Roman" w:hAnsi="Times New Roman"/>
          <w:sz w:val="17"/>
          <w:szCs w:val="17"/>
          <w:color w:val="auto"/>
        </w:rPr>
        <w:t>”). Notwithstanding the foregoing, the Board may, in its sole discretion, determine that a meeting of stockholders will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held at any place, but may instead be held by means of remote communications in a manner consistent with the General Corporation Law of the State of Delaware, as amended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subject to such guidelines and procedures as the Board may adopt from time to time. The Board may cancel or reschedule to an earlier or later date any previously scheduled annual or special meeting of stockholders.</w:t>
      </w:r>
    </w:p>
    <w:p>
      <w:pPr>
        <w:spacing w:after="0" w:line="177"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xml:space="preserve">. At each annual meeting of stockholders, the stockholders will elect the directors from the nominees for director, to succeed those directors whose terms expire at such meeting and will transact such other business, in such case as may properly be brought before the meeting in accordance with </w:t>
      </w:r>
      <w:r>
        <w:rPr>
          <w:rFonts w:ascii="Times New Roman" w:cs="Times New Roman" w:eastAsia="Times New Roman" w:hAnsi="Times New Roman"/>
          <w:sz w:val="17"/>
          <w:szCs w:val="17"/>
          <w:u w:val="single" w:color="auto"/>
          <w:color w:val="auto"/>
        </w:rPr>
        <w:t>Sections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The Board may postpone, reschedule or cancel any previously scheduled annual meeting of stockholders, before or after the notice for such meeting has been sent to the stockholders.</w:t>
      </w:r>
    </w:p>
    <w:p>
      <w:pPr>
        <w:spacing w:after="0" w:line="167"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.(a) A special meeting of stockholders may be called only by such persons and only in such manner as set forth in the Certificate of Incorporation, in each case to transact only such business as is specified in the notice of such meeting.</w:t>
      </w:r>
    </w:p>
    <w:p>
      <w:pPr>
        <w:spacing w:after="0" w:line="146" w:lineRule="exact"/>
        <w:rPr>
          <w:rFonts w:ascii="Times New Roman" w:cs="Times New Roman" w:eastAsia="Times New Roman" w:hAnsi="Times New Roman"/>
          <w:sz w:val="17"/>
          <w:szCs w:val="17"/>
          <w:color w:val="auto"/>
        </w:rPr>
      </w:pPr>
    </w:p>
    <w:p>
      <w:pPr>
        <w:jc w:val="both"/>
        <w:ind w:firstLine="632"/>
        <w:spacing w:after="0" w:line="259"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xml:space="preserve">. Notice of every meeting of stockholders, stating the place, if any, date and time thereof, the means of remote communications, if any, by which stockholders and proxy holders may be deemed to be present in person and vote at such meeting, and, in the case of a special meeting, the purpose or purposes for which the meeting is called, will be given, in a form permitted by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or by the DGCL, not less than ten (10) nor more than sixty (60) days before the date of the meeting to each stockholder of record entitled to vote at such meeting, except as otherwise provided by law. When a meeting is recessed or adjourned to another place, date, or time, notice need not be given of the recessed or adjourned meeting if the place, if any, date and time thereof, and the means of remote communications, if any, by which stockholders and proxy holders may be deemed to be present in person and vote at such recessed or adjourned meeting, are (a) announced at the meeting at which the recess or adjournment is taken (b) displayed, during the time scheduled for the meeting, on the same electronic network used to enable stockholders and proxy holders to participate in the meeting by means of remote communication or (c) set forth in the notice of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recess or adjournment is for more than thirty (30) days, or if after the recess or adjournment a new record date is fixed for the recessed or adjourned meeting, written notice of the place, if any, date and time thereof, and the means of remote communications, if any, by which stockholders and proxy holders may be deemed to be present in person and vote at such recessed or adjourned meeting, must be given in conformity herewith.</w:t>
      </w:r>
    </w:p>
    <w:p>
      <w:pPr>
        <w:spacing w:after="0" w:line="181" w:lineRule="exact"/>
        <w:rPr>
          <w:rFonts w:ascii="Times New Roman" w:cs="Times New Roman" w:eastAsia="Times New Roman" w:hAnsi="Times New Roman"/>
          <w:sz w:val="17"/>
          <w:szCs w:val="17"/>
          <w:color w:val="auto"/>
        </w:rPr>
      </w:pPr>
    </w:p>
    <w:p>
      <w:pPr>
        <w:jc w:val="both"/>
        <w:ind w:firstLine="632"/>
        <w:spacing w:after="0" w:line="264"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Inspectors</w:t>
      </w:r>
      <w:r>
        <w:rPr>
          <w:rFonts w:ascii="Times New Roman" w:cs="Times New Roman" w:eastAsia="Times New Roman" w:hAnsi="Times New Roman"/>
          <w:sz w:val="17"/>
          <w:szCs w:val="17"/>
          <w:color w:val="auto"/>
        </w:rPr>
        <w:t>. The Board will, in advance of any meeting of stockholders, appoint one or more inspectors to act at the meeting and make a written report thereof. The Board may designate one or more persons as alternate inspectors to replace any inspector who fails to act. If no inspector or alternate is able to act at a meeting of stockholders, the presiding officer of the meeting will appoint one or more inspectors to act at the meeting.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69" w:lineRule="exact"/>
        <w:rPr>
          <w:rFonts w:ascii="Times New Roman" w:cs="Times New Roman" w:eastAsia="Times New Roman" w:hAnsi="Times New Roman"/>
          <w:sz w:val="17"/>
          <w:szCs w:val="17"/>
          <w:color w:val="auto"/>
        </w:rPr>
      </w:pPr>
    </w:p>
    <w:p>
      <w:pPr>
        <w:jc w:val="both"/>
        <w:ind w:firstLine="632"/>
        <w:spacing w:after="0" w:line="277" w:lineRule="auto"/>
        <w:tabs>
          <w:tab w:leader="none" w:pos="125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Except as otherwise provided by law, the Certificate of Incorporation, these bylaws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or in a certificate of designation of a series of preferred stock filed by the Board pursuant to the DGCL (“</w:t>
      </w:r>
      <w:r>
        <w:rPr>
          <w:rFonts w:ascii="Times New Roman" w:cs="Times New Roman" w:eastAsia="Times New Roman" w:hAnsi="Times New Roman"/>
          <w:sz w:val="17"/>
          <w:szCs w:val="17"/>
          <w:b w:val="1"/>
          <w:bCs w:val="1"/>
          <w:color w:val="auto"/>
        </w:rPr>
        <w:t>Preferred Stock Designation</w:t>
      </w:r>
      <w:r>
        <w:rPr>
          <w:rFonts w:ascii="Times New Roman" w:cs="Times New Roman" w:eastAsia="Times New Roman" w:hAnsi="Times New Roman"/>
          <w:sz w:val="17"/>
          <w:szCs w:val="17"/>
          <w:color w:val="auto"/>
        </w:rPr>
        <w:t>”), the holders of a majority in voting power of the shares of the capital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445135</wp:posOffset>
            </wp:positionV>
            <wp:extent cx="629158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70" w:right="999" w:bottom="1440" w:gutter="0" w:footer="0" w:header="0"/>
        </w:sectPr>
      </w:pPr>
    </w:p>
    <w:bookmarkStart w:id="125" w:name="page126"/>
    <w:bookmarkEnd w:id="125"/>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issued and outstanding and entitled to vote at the meeting, present in person, present by means of remote communication in a manner, if any, authorized by the Board in its sole discretion, or represented by proxy, will constitute a quorum at a meeting of stockholders for the transaction of business thereat;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where a separate vote by a class or classes or series of capital stock is required by law, the Certificate of Incorporation, these Bylaws, or in a Preferred Stock Designation,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in its sole discretion, or represented by proxy, shall constitute a quorum entitled to take action with respect to the vote on such matter. A quorum, once established, will not be broken by the subsequent withdrawal of enough votes to leave less than a quorum. If, however, such a quorum shall not be present or represented at any meeting of the stockholders, the presiding officer of the meeting shall have the power to recess or adjourn the meeting from time to time, in the manner provided in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until a quorum is present or represented. At any such adjourned meeting at which there is a quorum, any business may be transacted that might have been transacted at the meeting originally called.</w:t>
      </w:r>
    </w:p>
    <w:p>
      <w:pPr>
        <w:spacing w:after="0" w:line="177" w:lineRule="exact"/>
        <w:rPr>
          <w:sz w:val="20"/>
          <w:szCs w:val="20"/>
          <w:color w:val="auto"/>
        </w:rPr>
      </w:pPr>
    </w:p>
    <w:p>
      <w:pPr>
        <w:jc w:val="both"/>
        <w:ind w:firstLine="632"/>
        <w:spacing w:after="0" w:line="260" w:lineRule="auto"/>
        <w:tabs>
          <w:tab w:leader="none" w:pos="1253"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List</w:t>
      </w:r>
      <w:r>
        <w:rPr>
          <w:rFonts w:ascii="Times New Roman" w:cs="Times New Roman" w:eastAsia="Times New Roman" w:hAnsi="Times New Roman"/>
          <w:sz w:val="17"/>
          <w:szCs w:val="17"/>
          <w:color w:val="auto"/>
        </w:rPr>
        <w:t>. The Corporation shall prepare, at least ten (10) days before every meeting of stockholders, a complete list of stockholders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w:t>
      </w:r>
    </w:p>
    <w:p>
      <w:pPr>
        <w:spacing w:after="0" w:line="3" w:lineRule="exact"/>
        <w:rPr>
          <w:rFonts w:ascii="Times New Roman" w:cs="Times New Roman" w:eastAsia="Times New Roman" w:hAnsi="Times New Roman"/>
          <w:sz w:val="17"/>
          <w:szCs w:val="17"/>
          <w:color w:val="auto"/>
        </w:rPr>
      </w:pPr>
    </w:p>
    <w:p>
      <w:pPr>
        <w:jc w:val="both"/>
        <w:ind w:firstLine="5"/>
        <w:spacing w:after="0" w:line="258" w:lineRule="auto"/>
        <w:tabs>
          <w:tab w:leader="none" w:pos="33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meeting, (a) on a reasonably accessible electronic network as permitted by applicable law (provided that the information required to gain access to the list is provided with the notice of the meeting), 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examined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7 or to vote in person or by proxy at any meeting of stockholders. The Corporation shall not be required to include electronic mail addresses or other electronic contact information on such list.</w:t>
      </w:r>
    </w:p>
    <w:p>
      <w:pPr>
        <w:spacing w:after="0" w:line="177"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Proxies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2" w:lineRule="auto"/>
        <w:tabs>
          <w:tab w:leader="none" w:pos="1880"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otherwise provided by law, by the Certificate of Incorporation, in these Bylaws, or in a Preferred Stock Designation, each stockholder will be entitled at every meeting of the stockholders to one (1) vote for each share of stock having voting power standing in the name of such stockholder on the books of the Corporation on the record date for the meeting and such votes may be cast either in person or by proxy. Every proxy must be authorized in a manner permitted by Section 212 of the DGCL (or any successor provision) and may be documented, signed and delivered in accordance with Section 116 of the DGCL (or any successor provision) provided that such authorization shall set forth, or be delivered with, information enabling the Corporation to reasonably determine the identity of the stockholder granting such authorization.</w:t>
      </w:r>
    </w:p>
    <w:p>
      <w:pPr>
        <w:spacing w:after="0" w:line="177" w:lineRule="exact"/>
        <w:rPr>
          <w:rFonts w:ascii="Times New Roman" w:cs="Times New Roman" w:eastAsia="Times New Roman" w:hAnsi="Times New Roman"/>
          <w:sz w:val="17"/>
          <w:szCs w:val="17"/>
          <w:color w:val="auto"/>
        </w:rPr>
      </w:pPr>
    </w:p>
    <w:p>
      <w:pPr>
        <w:jc w:val="both"/>
        <w:ind w:firstLine="1572"/>
        <w:spacing w:after="0" w:line="266" w:lineRule="auto"/>
        <w:tabs>
          <w:tab w:leader="none" w:pos="1880"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Required for Stockholder Action</w:t>
      </w:r>
      <w:r>
        <w:rPr>
          <w:rFonts w:ascii="Times New Roman" w:cs="Times New Roman" w:eastAsia="Times New Roman" w:hAnsi="Times New Roman"/>
          <w:sz w:val="17"/>
          <w:szCs w:val="17"/>
          <w:color w:val="auto"/>
        </w:rPr>
        <w:t>. When a quorum is present at any meeting of stockholders, the affirmative vote of a majority of the votes properly cast on the matter (excluding any abstentions or broker non-votes) will be the act of the stockholders with respect to all matters other than the election of directors (who will be elected by a plurality of all votes properly cast), except as otherwise provided in these Bylaws, the Certificate of Incorporation, a Preferred Stock Designation, the rules or regulations of any stock exchange applicable to the Corporation, or by law.</w:t>
      </w:r>
    </w:p>
    <w:p>
      <w:pPr>
        <w:spacing w:after="0" w:line="169" w:lineRule="exact"/>
        <w:rPr>
          <w:rFonts w:ascii="Times New Roman" w:cs="Times New Roman" w:eastAsia="Times New Roman" w:hAnsi="Times New Roman"/>
          <w:sz w:val="17"/>
          <w:szCs w:val="17"/>
          <w:color w:val="auto"/>
        </w:rPr>
      </w:pPr>
    </w:p>
    <w:p>
      <w:pPr>
        <w:jc w:val="both"/>
        <w:ind w:firstLine="632"/>
        <w:spacing w:after="0" w:line="266" w:lineRule="auto"/>
        <w:tabs>
          <w:tab w:leader="none" w:pos="1253"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Order of Business</w:t>
      </w:r>
      <w:r>
        <w:rPr>
          <w:rFonts w:ascii="Times New Roman" w:cs="Times New Roman" w:eastAsia="Times New Roman" w:hAnsi="Times New Roman"/>
          <w:sz w:val="17"/>
          <w:szCs w:val="17"/>
          <w:color w:val="auto"/>
        </w:rPr>
        <w:t>. Meetings of stockholders shall be presided over by the Chairperson, if any, or in his or her absence, by the Vice Chairperson, if any, or in his or her absence, by the Chief Executive Officer, or in his or her absence, by the President, or in his or her absence,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450850</wp:posOffset>
            </wp:positionV>
            <wp:extent cx="629158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17"/>
          <w:szCs w:val="17"/>
          <w:color w:val="auto"/>
        </w:rPr>
        <w:t>appoint any person to act as secretary of the meeting. Unless otherwise determined by the Board prior to the meeting, the presiding person of any meeting of stockholders will also determine the order of business and have the authority in his or her sole discretion to determine the rules of procedure and regulate the conduct of the meeting, including without limitation by: (a) imposing restrictions on the persons (other than stockholders of the Corporation or their duly appointed proxy holders) that may attend the meeting; (b) ascertaining whether any stockholder or his or her proxy holder may be excluded from the meeting based upon any determination by the presiding officer, in his or her sole discretion, that any such person has disrupted or is likely to disrupt the proceedings thereat; (c) determining the circumstances in which any person may make a statement or ask questions at the meeting; (d) ruling on all procedural questions that may arise during or in connection with the meeting; (e) determining whether any nomination or business proposed to be brought before the meeting has been properly brought before the meeting; and (f) determining the time or times at which the polls for voting at the meeting will be opened and closed.</w:t>
      </w:r>
    </w:p>
    <w:p>
      <w:pPr>
        <w:spacing w:after="0" w:line="175" w:lineRule="exact"/>
        <w:rPr>
          <w:sz w:val="20"/>
          <w:szCs w:val="20"/>
          <w:color w:val="auto"/>
        </w:rPr>
      </w:pPr>
    </w:p>
    <w:p>
      <w:pPr>
        <w:ind w:left="1260" w:hanging="628"/>
        <w:spacing w:after="0"/>
        <w:tabs>
          <w:tab w:leader="none" w:pos="1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Stockholder Proposals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0" w:lineRule="auto"/>
        <w:tabs>
          <w:tab w:leader="none" w:pos="188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to Be Conducted at Annual Meeting</w:t>
      </w:r>
      <w:r>
        <w:rPr>
          <w:rFonts w:ascii="Times New Roman" w:cs="Times New Roman" w:eastAsia="Times New Roman" w:hAnsi="Times New Roman"/>
          <w:sz w:val="17"/>
          <w:szCs w:val="17"/>
          <w:color w:val="auto"/>
        </w:rPr>
        <w:t xml:space="preserve">. At an annual meeting of stockholders, only such business may be conducted as has been properly brought before the meeting. To be properly brought before an annual meeting, business (other than the nomination of a person for election as a director, which is governed by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and, to the extent applicable,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must be (i) brought before the meeting by or at the direction of the Board or (ii) otherwise properly brought before the meeting by a stockholder who (A) has complied with all applicable requirements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in relation to such business, (B) was a stockholder of record of the Corporation at the time of giving the notice required by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and is a stockholder of record of the Corporation at the time of the annual meeting, and (C) is entitled to vote at the annual meeting. For the avoidance of doubt, the foregoing clause (ii) will be the exclusive means for a stockholder to submit business before an annual meeting of stockholders (other than proposals properly made in accordance with Rule 14a-8 under the Securities Exchange Act of 1934, as amended (such act, and the rules and regulations promulgated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included in the notice of meeting given by or at the direction of the Board).</w:t>
      </w:r>
    </w:p>
    <w:p>
      <w:pPr>
        <w:spacing w:after="0" w:line="179" w:lineRule="exact"/>
        <w:rPr>
          <w:rFonts w:ascii="Times New Roman" w:cs="Times New Roman" w:eastAsia="Times New Roman" w:hAnsi="Times New Roman"/>
          <w:sz w:val="17"/>
          <w:szCs w:val="17"/>
          <w:color w:val="auto"/>
        </w:rPr>
      </w:pPr>
    </w:p>
    <w:p>
      <w:pPr>
        <w:jc w:val="both"/>
        <w:ind w:firstLine="1572"/>
        <w:spacing w:after="0" w:line="262" w:lineRule="auto"/>
        <w:tabs>
          <w:tab w:leader="none" w:pos="188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Form for Stockholder Proposals</w:t>
      </w:r>
      <w:r>
        <w:rPr>
          <w:rFonts w:ascii="Times New Roman" w:cs="Times New Roman" w:eastAsia="Times New Roman" w:hAnsi="Times New Roman"/>
          <w:sz w:val="17"/>
          <w:szCs w:val="17"/>
          <w:color w:val="auto"/>
        </w:rPr>
        <w:t>. To be in proper form, regardless of whether the subject matter is already the subject of any notice to stockholders from the Board, a stockholder’s notice to the Secretary must set forth in writing, on the form provided to the stockholder upon written request to the Secretary and verification that the requesting party is a stockholder or is acting on behalf of a stockholder, including the following information, which must be updated and supplemented, if necessary, so that the information provided or required to be provided will be true and correct on the record date of the annual meeting and as of such date that is ten (10) business days prior to the annual meeting or any adjournment or postponement thereof; which update shall be delivered to the Secretary no later than five (5) business days after the record date for the annual meeting and not later than eight (8) business days prior to the date of the annual meeting.</w:t>
      </w:r>
    </w:p>
    <w:p>
      <w:pPr>
        <w:spacing w:after="0" w:line="385" w:lineRule="exact"/>
        <w:rPr>
          <w:rFonts w:ascii="Times New Roman" w:cs="Times New Roman" w:eastAsia="Times New Roman" w:hAnsi="Times New Roman"/>
          <w:sz w:val="17"/>
          <w:szCs w:val="17"/>
          <w:color w:val="auto"/>
        </w:rPr>
      </w:pPr>
    </w:p>
    <w:p>
      <w:pPr>
        <w:ind w:left="2520" w:hanging="322"/>
        <w:spacing w:after="0"/>
        <w:tabs>
          <w:tab w:leader="none" w:pos="2520"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the Proposing Person</w:t>
      </w:r>
      <w:r>
        <w:rPr>
          <w:rFonts w:ascii="Times New Roman" w:cs="Times New Roman" w:eastAsia="Times New Roman" w:hAnsi="Times New Roman"/>
          <w:sz w:val="17"/>
          <w:szCs w:val="17"/>
          <w:color w:val="auto"/>
        </w:rPr>
        <w:t>. As to each Proposing Person (as such term is defined in</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12(d)(ii)</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Proposing Person, as they appear on the Corporation’s stock</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book;</w:t>
      </w:r>
    </w:p>
    <w:p>
      <w:pPr>
        <w:spacing w:after="0" w:line="204" w:lineRule="exact"/>
        <w:rPr>
          <w:rFonts w:ascii="Times New Roman" w:cs="Times New Roman" w:eastAsia="Times New Roman" w:hAnsi="Times New Roman"/>
          <w:sz w:val="17"/>
          <w:szCs w:val="17"/>
          <w:color w:val="auto"/>
        </w:rPr>
      </w:pPr>
    </w:p>
    <w:p>
      <w:pPr>
        <w:jc w:val="both"/>
        <w:ind w:firstLine="2825"/>
        <w:spacing w:after="0" w:line="275" w:lineRule="auto"/>
        <w:tabs>
          <w:tab w:leader="none" w:pos="3133"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series and number of shares of the Corporation directly or indirectly beneficially owned or held of record by such Proposing Person (including any shares of any class or series of the Corporation as to which such Proposing Person has a right to acquire beneficial ownership, whether such right is exercisable immediately or only after the passage of time);</w:t>
      </w:r>
    </w:p>
    <w:p>
      <w:pPr>
        <w:spacing w:after="0" w:line="163" w:lineRule="exact"/>
        <w:rPr>
          <w:rFonts w:ascii="Times New Roman" w:cs="Times New Roman" w:eastAsia="Times New Roman" w:hAnsi="Times New Roman"/>
          <w:sz w:val="17"/>
          <w:szCs w:val="17"/>
          <w:color w:val="auto"/>
        </w:rPr>
      </w:pPr>
    </w:p>
    <w:p>
      <w:pPr>
        <w:jc w:val="both"/>
        <w:ind w:firstLine="2825"/>
        <w:spacing w:after="0" w:line="269" w:lineRule="auto"/>
        <w:tabs>
          <w:tab w:leader="none" w:pos="3133"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(1) that the stockholder giving the notice is a holder of record of stock of the Corporation entitled to vote at the annual meeting and intends to appear at the annual meeting to bring such business before the annual meeting and (2) as to whether any Proposing Person intends to deliver a proxy statement and form of proxy to holders of at least the percentage of shares of the Corporation entitled to vote and required to approve the proposal and, if so, identifying such Proposing Person;</w:t>
      </w:r>
    </w:p>
    <w:p>
      <w:pPr>
        <w:spacing w:after="0" w:line="167" w:lineRule="exact"/>
        <w:rPr>
          <w:rFonts w:ascii="Times New Roman" w:cs="Times New Roman" w:eastAsia="Times New Roman" w:hAnsi="Times New Roman"/>
          <w:sz w:val="17"/>
          <w:szCs w:val="17"/>
          <w:color w:val="auto"/>
        </w:rPr>
      </w:pPr>
    </w:p>
    <w:p>
      <w:pPr>
        <w:ind w:firstLine="2825"/>
        <w:spacing w:after="0" w:line="295" w:lineRule="auto"/>
        <w:tabs>
          <w:tab w:leader="none" w:pos="3133"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(1) option, warrant, convertible security, stock appreciation right or similar right or interest (including any derivative securities, as defined under Rule 16a-1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436245</wp:posOffset>
            </wp:positionV>
            <wp:extent cx="6291580"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27" w:name="page128"/>
    <w:bookmarkEnd w:id="127"/>
    <w:p>
      <w:pPr>
        <w:jc w:val="both"/>
        <w:spacing w:after="0" w:line="260" w:lineRule="auto"/>
        <w:rPr>
          <w:sz w:val="20"/>
          <w:szCs w:val="20"/>
          <w:color w:val="auto"/>
        </w:rPr>
      </w:pPr>
      <w:r>
        <w:rPr>
          <w:rFonts w:ascii="Times New Roman" w:cs="Times New Roman" w:eastAsia="Times New Roman" w:hAnsi="Times New Roman"/>
          <w:sz w:val="17"/>
          <w:szCs w:val="17"/>
          <w:color w:val="auto"/>
        </w:rPr>
        <w:t>the Exchange Act or other synthetic arrangement having characteristics of a long position), assuming for purposes of these Bylaws presently exercisable, with an exercise or conversion privilege or a settlement or payment mechanism at a price related to any class or series of securities of the Corporation or with a value derived in whole or in part from the value of any class or series of securities of the Corporation, whether or not such instrument or right is subject to settlement in whole or in part in the underlying class or series of securities of the Corporation or otherwise, directly or indirectly held of record or owned beneficially by such Proposing Person and whether or not such Proposing Person may have entered into transactions that hedge or mitigate the economic effects of such security or instrument and (2) each other direct or indirect right or interest that may enable such Proposing Person to profit or share in any profit derived from, or to manage the risk or benefit from, any increase or decrease in the value of the Corporation’s securities, in each case regardless of whether (x) such right or interest conveys any voting rights in such security to such Proposing Person, (y) 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(D) being a “</w:t>
      </w:r>
      <w:r>
        <w:rPr>
          <w:rFonts w:ascii="Times New Roman" w:cs="Times New Roman" w:eastAsia="Times New Roman" w:hAnsi="Times New Roman"/>
          <w:sz w:val="17"/>
          <w:szCs w:val="17"/>
          <w:b w:val="1"/>
          <w:bCs w:val="1"/>
          <w:color w:val="auto"/>
        </w:rPr>
        <w:t>Derivative Interest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2825"/>
        <w:spacing w:after="0" w:line="275" w:lineRule="auto"/>
        <w:tabs>
          <w:tab w:leader="none" w:pos="3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proxy, contract, agreement, arrangement, understanding or relationship pursuant to which the Proposing Person has a right to vote any shares of the Corporation or which has the effect of increasing or decreasing the voting power of such Proposing Person;</w:t>
      </w:r>
    </w:p>
    <w:p>
      <w:pPr>
        <w:spacing w:after="0" w:line="163" w:lineRule="exact"/>
        <w:rPr>
          <w:rFonts w:ascii="Times New Roman" w:cs="Times New Roman" w:eastAsia="Times New Roman" w:hAnsi="Times New Roman"/>
          <w:sz w:val="17"/>
          <w:szCs w:val="17"/>
          <w:color w:val="auto"/>
        </w:rPr>
      </w:pPr>
    </w:p>
    <w:p>
      <w:pPr>
        <w:jc w:val="both"/>
        <w:ind w:firstLine="2825"/>
        <w:spacing w:after="0" w:line="269" w:lineRule="auto"/>
        <w:tabs>
          <w:tab w:leader="none" w:pos="3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agreement, arrangement, understanding or relationship including any repurchase or similar so called “stock borrowing” agreement or arrangement, the purpose or effect of which is to mitigate loss, reduce economic risk or increase or decrease voting power with respect to any capital stock of the Corporation or which provides any party, directly or indirectly, the opportunity to profit from any decrease in the price or value of the capital stock of the Corporation;</w:t>
      </w:r>
    </w:p>
    <w:p>
      <w:pPr>
        <w:spacing w:after="0" w:line="167"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pending or threatened legal proceeding involving the Corporation, any affiliate of</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or any of their respective directors or officers, to which such Proposing Person or its affiliates is a party;</w:t>
      </w:r>
    </w:p>
    <w:p>
      <w:pPr>
        <w:spacing w:after="0" w:line="204"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directly or indirectly held of record or beneficially by the Proposing Person to</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on the shares of the Corporation that are separated or separable from the underlying shares of the Corporation;</w:t>
      </w:r>
    </w:p>
    <w:p>
      <w:pPr>
        <w:spacing w:after="0" w:line="204"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equity interests, including any convertible, derivative or short interests, in any principal</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 of the Corporation;</w:t>
      </w:r>
    </w:p>
    <w:p>
      <w:pPr>
        <w:spacing w:after="0" w:line="204" w:lineRule="exact"/>
        <w:rPr>
          <w:rFonts w:ascii="Times New Roman" w:cs="Times New Roman" w:eastAsia="Times New Roman" w:hAnsi="Times New Roman"/>
          <w:sz w:val="17"/>
          <w:szCs w:val="17"/>
          <w:color w:val="auto"/>
        </w:rPr>
      </w:pPr>
    </w:p>
    <w:p>
      <w:pPr>
        <w:jc w:val="both"/>
        <w:ind w:firstLine="2825"/>
        <w:spacing w:after="0" w:line="275" w:lineRule="auto"/>
        <w:tabs>
          <w:tab w:leader="none" w:pos="3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(other than an asset-based fee) to which the Proposing Person or any affiliate or immediate family member of the Proposing Person may be entitled as a result of any increase or decrease in the value of shares of the Corporation or Derivative Interests;</w:t>
      </w:r>
    </w:p>
    <w:p>
      <w:pPr>
        <w:spacing w:after="0" w:line="163" w:lineRule="exact"/>
        <w:rPr>
          <w:rFonts w:ascii="Times New Roman" w:cs="Times New Roman" w:eastAsia="Times New Roman" w:hAnsi="Times New Roman"/>
          <w:sz w:val="17"/>
          <w:szCs w:val="17"/>
          <w:color w:val="auto"/>
        </w:rPr>
      </w:pPr>
    </w:p>
    <w:p>
      <w:pPr>
        <w:jc w:val="both"/>
        <w:ind w:firstLine="2825"/>
        <w:spacing w:after="0" w:line="260" w:lineRule="auto"/>
        <w:tabs>
          <w:tab w:leader="none" w:pos="3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whether the stockholder, the beneficial owner, if any, on whose behalf the nomination or other business proposal is being made, any control person, or any other participant (as defined in Item 4 of Schedule 14A under the Exchange Act) will engage in a solicitation with respect to such nomination or other business proposal and, if so, the name of each participant in such solicitation; and a statement: (1) confirming whether, the stockholder, beneficial owner, or any control person intends, or is part of a group that (x) in the case of a nomination, intends to solicit proxies or votes in support of such director nominees or nomination in accordance with Rule 14a-19 under the Exchange Act, including but not limited to, delivering a proxy statement and form of proxy and soliciting at least the percentage of the voting power of all of the shares of the stock of the Corporation required under applicable law to elect the nominee, and (y) in the case of a business proposal, intends to deliver a proxy statement and form of proxy and solicit at least the percentage of voting power of all of the shares of stock of the Corporation required under applicable law to approve the proposal; and (2) whether or not any such stockholder, beneficial owner, or any control person intends to otherwise solicit proxies from stockholders in support of such nomination or other business proposal; and</w:t>
      </w:r>
    </w:p>
    <w:p>
      <w:pPr>
        <w:spacing w:after="0" w:line="176" w:lineRule="exact"/>
        <w:rPr>
          <w:rFonts w:ascii="Times New Roman" w:cs="Times New Roman" w:eastAsia="Times New Roman" w:hAnsi="Times New Roman"/>
          <w:sz w:val="17"/>
          <w:szCs w:val="17"/>
          <w:color w:val="auto"/>
        </w:rPr>
      </w:pPr>
    </w:p>
    <w:p>
      <w:pPr>
        <w:ind w:firstLine="2825"/>
        <w:spacing w:after="0" w:line="295" w:lineRule="auto"/>
        <w:tabs>
          <w:tab w:leader="none" w:pos="31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Proposing Person that would be required to be disclosed in a proxy statement or other filing required pursuant to Section 14(a) of the Exchange Act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436245</wp:posOffset>
            </wp:positionV>
            <wp:extent cx="629158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28" w:name="page129"/>
    <w:bookmarkEnd w:id="128"/>
    <w:p>
      <w:pPr>
        <w:spacing w:after="0" w:line="295" w:lineRule="auto"/>
        <w:rPr>
          <w:sz w:val="20"/>
          <w:szCs w:val="20"/>
          <w:color w:val="auto"/>
        </w:rPr>
      </w:pPr>
      <w:r>
        <w:rPr>
          <w:rFonts w:ascii="Times New Roman" w:cs="Times New Roman" w:eastAsia="Times New Roman" w:hAnsi="Times New Roman"/>
          <w:sz w:val="17"/>
          <w:szCs w:val="17"/>
          <w:color w:val="auto"/>
        </w:rPr>
        <w:t>be made in connection with a general solicitation of proxies or consents by such Proposing Person in support of the business proposed to be brought before the meeting.</w:t>
      </w:r>
    </w:p>
    <w:p>
      <w:pPr>
        <w:spacing w:after="0" w:line="146" w:lineRule="exact"/>
        <w:rPr>
          <w:sz w:val="20"/>
          <w:szCs w:val="20"/>
          <w:color w:val="auto"/>
        </w:rPr>
      </w:pPr>
    </w:p>
    <w:p>
      <w:pPr>
        <w:ind w:firstLine="2198"/>
        <w:spacing w:after="0" w:line="295" w:lineRule="auto"/>
        <w:tabs>
          <w:tab w:leader="none" w:pos="2506" w:val="left"/>
        </w:tabs>
        <w:numPr>
          <w:ilvl w:val="3"/>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the Proposal</w:t>
      </w:r>
      <w:r>
        <w:rPr>
          <w:rFonts w:ascii="Times New Roman" w:cs="Times New Roman" w:eastAsia="Times New Roman" w:hAnsi="Times New Roman"/>
          <w:sz w:val="17"/>
          <w:szCs w:val="17"/>
          <w:color w:val="auto"/>
        </w:rPr>
        <w:t>: As to each item of business that the stockholder giving the notice proposes to bring before the annual meeting:</w:t>
      </w:r>
    </w:p>
    <w:p>
      <w:pPr>
        <w:spacing w:after="0" w:line="146" w:lineRule="exact"/>
        <w:rPr>
          <w:rFonts w:ascii="Times New Roman" w:cs="Times New Roman" w:eastAsia="Times New Roman" w:hAnsi="Times New Roman"/>
          <w:sz w:val="17"/>
          <w:szCs w:val="17"/>
          <w:color w:val="auto"/>
        </w:rPr>
      </w:pPr>
    </w:p>
    <w:p>
      <w:pPr>
        <w:jc w:val="both"/>
        <w:ind w:firstLine="2825"/>
        <w:spacing w:after="0" w:line="275" w:lineRule="auto"/>
        <w:tabs>
          <w:tab w:leader="none" w:pos="3133" w:val="left"/>
        </w:tabs>
        <w:numPr>
          <w:ilvl w:val="4"/>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in reasonable detail of the business desired to be brought before the annual meeting and the reasons why such stockholder or any other Proposing Person believes that the taking of the action or actions proposed to be taken would be in the best interests of the Corporation and its stockholders;</w:t>
      </w:r>
    </w:p>
    <w:p>
      <w:pPr>
        <w:spacing w:after="0" w:line="163" w:lineRule="exact"/>
        <w:rPr>
          <w:rFonts w:ascii="Times New Roman" w:cs="Times New Roman" w:eastAsia="Times New Roman" w:hAnsi="Times New Roman"/>
          <w:sz w:val="17"/>
          <w:szCs w:val="17"/>
          <w:color w:val="auto"/>
        </w:rPr>
      </w:pPr>
    </w:p>
    <w:p>
      <w:pPr>
        <w:jc w:val="both"/>
        <w:ind w:firstLine="2825"/>
        <w:spacing w:after="0" w:line="275" w:lineRule="auto"/>
        <w:tabs>
          <w:tab w:leader="none" w:pos="3133" w:val="left"/>
        </w:tabs>
        <w:numPr>
          <w:ilvl w:val="4"/>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in reasonable detail of any material interest of any Proposing Person in such business and a description in reasonable detail of all agreements, arrangements and understandings among the Proposing Persons or between any Proposing Person and any other person or entity (including their names) in connection with the proposal; and</w:t>
      </w:r>
    </w:p>
    <w:p>
      <w:pPr>
        <w:spacing w:after="0" w:line="163"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4"/>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the proposal or business (including the text of any resolutions proposed for</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w:t>
      </w:r>
    </w:p>
    <w:p>
      <w:pPr>
        <w:spacing w:after="0" w:line="204" w:lineRule="exact"/>
        <w:rPr>
          <w:rFonts w:ascii="Times New Roman" w:cs="Times New Roman" w:eastAsia="Times New Roman" w:hAnsi="Times New Roman"/>
          <w:sz w:val="17"/>
          <w:szCs w:val="17"/>
          <w:color w:val="auto"/>
        </w:rPr>
      </w:pPr>
    </w:p>
    <w:p>
      <w:pPr>
        <w:jc w:val="both"/>
        <w:ind w:firstLine="1572"/>
        <w:spacing w:after="0" w:line="287" w:lineRule="auto"/>
        <w:tabs>
          <w:tab w:leader="none" w:pos="188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Have Proposal Included</w:t>
      </w:r>
      <w:r>
        <w:rPr>
          <w:rFonts w:ascii="Times New Roman" w:cs="Times New Roman" w:eastAsia="Times New Roman" w:hAnsi="Times New Roman"/>
          <w:sz w:val="17"/>
          <w:szCs w:val="17"/>
          <w:color w:val="auto"/>
        </w:rPr>
        <w:t xml:space="preserve">. A stockholder is not entitled to have its proposal included in the Corporation’s proxy statement and form of proxy solely as a result of such stockholder’s compliance with the foregoing provisions of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367" w:lineRule="exact"/>
        <w:rPr>
          <w:rFonts w:ascii="Times New Roman" w:cs="Times New Roman" w:eastAsia="Times New Roman" w:hAnsi="Times New Roman"/>
          <w:sz w:val="17"/>
          <w:szCs w:val="17"/>
          <w:color w:val="auto"/>
        </w:rPr>
      </w:pPr>
    </w:p>
    <w:p>
      <w:pPr>
        <w:jc w:val="both"/>
        <w:ind w:firstLine="1572"/>
        <w:spacing w:after="0" w:line="275" w:lineRule="auto"/>
        <w:tabs>
          <w:tab w:leader="none" w:pos="188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Requirement to Attend Annual Meeting</w:t>
      </w:r>
      <w:r>
        <w:rPr>
          <w:rFonts w:ascii="Times New Roman" w:cs="Times New Roman" w:eastAsia="Times New Roman" w:hAnsi="Times New Roman"/>
          <w:sz w:val="17"/>
          <w:szCs w:val="17"/>
          <w:color w:val="auto"/>
        </w:rPr>
        <w:t>. If a stockholder does not appear at the annual meeting to present its proposal, such proposal will be disregarded (notwithstanding that proxies in respect of such proposal may have been solicited, obtained or delivered).</w:t>
      </w:r>
    </w:p>
    <w:p>
      <w:pPr>
        <w:spacing w:after="0" w:line="16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Directors Nominations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0" w:lineRule="auto"/>
        <w:tabs>
          <w:tab w:leader="none" w:pos="1880"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Nomination of Directors</w:t>
      </w:r>
      <w:r>
        <w:rPr>
          <w:rFonts w:ascii="Times New Roman" w:cs="Times New Roman" w:eastAsia="Times New Roman" w:hAnsi="Times New Roman"/>
          <w:sz w:val="17"/>
          <w:szCs w:val="17"/>
          <w:color w:val="auto"/>
        </w:rPr>
        <w:t xml:space="preserve">. Subject to the rights, if any, of any series of Preferred Stock to nominate or elect directors under circumstances specified in a Preferred Stock Designation, only persons who are nominated in accordance with the procedures set forth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will be eligible to serve as directors. Nominations of persons for election as directors of the Corporation may be made only at an annual meeting of stockholders and only (i) by or at the direction of the Board or (ii) by a stockholder who (A) has complied with all applicable requirements of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in relation to such nomination, (B) was a stockholder of record of the Corporation at the time of giving the notice required by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and is a stockholder of record of the Corporation at the time of the annual meeting,</w:t>
      </w:r>
    </w:p>
    <w:p>
      <w:pPr>
        <w:ind w:firstLine="5"/>
        <w:spacing w:after="0" w:line="272" w:lineRule="auto"/>
        <w:tabs>
          <w:tab w:leader="none" w:pos="29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entitled to vote at the annual meeting and (D) subject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has nominated a number of nominees that does not exceed the number of directors that will be elected at such meeting.</w:t>
      </w:r>
    </w:p>
    <w:p>
      <w:pPr>
        <w:spacing w:after="0" w:line="165" w:lineRule="exact"/>
        <w:rPr>
          <w:rFonts w:ascii="Times New Roman" w:cs="Times New Roman" w:eastAsia="Times New Roman" w:hAnsi="Times New Roman"/>
          <w:sz w:val="17"/>
          <w:szCs w:val="17"/>
          <w:color w:val="auto"/>
        </w:rPr>
      </w:pPr>
    </w:p>
    <w:p>
      <w:pPr>
        <w:jc w:val="both"/>
        <w:ind w:firstLine="1572"/>
        <w:spacing w:after="0" w:line="269" w:lineRule="auto"/>
        <w:tabs>
          <w:tab w:leader="none" w:pos="1880"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Required Form for Director Nominations</w:t>
      </w:r>
      <w:r>
        <w:rPr>
          <w:rFonts w:ascii="Times New Roman" w:cs="Times New Roman" w:eastAsia="Times New Roman" w:hAnsi="Times New Roman"/>
          <w:sz w:val="17"/>
          <w:szCs w:val="17"/>
          <w:color w:val="auto"/>
        </w:rPr>
        <w:t>. To be in proper form, a stockholder’s notice to the Secretary must set forth in writing, substantially in the form provided to the stockholder upon written request to the Secretary, which form shall be provided only upon the receipt of evidence reasonably satisfactory to the Secretary verifying that the requesting party is a stockholder or is acting on behalf of a stockholder:</w:t>
      </w:r>
    </w:p>
    <w:p>
      <w:pPr>
        <w:spacing w:after="0" w:line="167" w:lineRule="exact"/>
        <w:rPr>
          <w:rFonts w:ascii="Times New Roman" w:cs="Times New Roman" w:eastAsia="Times New Roman" w:hAnsi="Times New Roman"/>
          <w:sz w:val="17"/>
          <w:szCs w:val="17"/>
          <w:color w:val="auto"/>
        </w:rPr>
      </w:pPr>
    </w:p>
    <w:p>
      <w:pPr>
        <w:jc w:val="both"/>
        <w:ind w:firstLine="2198"/>
        <w:spacing w:after="0" w:line="269" w:lineRule="auto"/>
        <w:tabs>
          <w:tab w:leader="none" w:pos="2506" w:val="left"/>
        </w:tabs>
        <w:numPr>
          <w:ilvl w:val="3"/>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the Nominating Person</w:t>
      </w:r>
      <w:r>
        <w:rPr>
          <w:rFonts w:ascii="Times New Roman" w:cs="Times New Roman" w:eastAsia="Times New Roman" w:hAnsi="Times New Roman"/>
          <w:sz w:val="17"/>
          <w:szCs w:val="17"/>
          <w:color w:val="auto"/>
        </w:rPr>
        <w:t xml:space="preserve">. As to each Nominating Person (as such term is defined in </w:t>
      </w:r>
      <w:r>
        <w:rPr>
          <w:rFonts w:ascii="Times New Roman" w:cs="Times New Roman" w:eastAsia="Times New Roman" w:hAnsi="Times New Roman"/>
          <w:sz w:val="17"/>
          <w:szCs w:val="17"/>
          <w:u w:val="single" w:color="auto"/>
          <w:color w:val="auto"/>
        </w:rPr>
        <w:t>Section 12(d)(iii)</w:t>
      </w:r>
      <w:r>
        <w:rPr>
          <w:rFonts w:ascii="Times New Roman" w:cs="Times New Roman" w:eastAsia="Times New Roman" w:hAnsi="Times New Roman"/>
          <w:sz w:val="17"/>
          <w:szCs w:val="17"/>
          <w:color w:val="auto"/>
        </w:rPr>
        <w:t xml:space="preserve">), the information set forth in </w:t>
      </w:r>
      <w:r>
        <w:rPr>
          <w:rFonts w:ascii="Times New Roman" w:cs="Times New Roman" w:eastAsia="Times New Roman" w:hAnsi="Times New Roman"/>
          <w:sz w:val="17"/>
          <w:szCs w:val="17"/>
          <w:u w:val="single" w:color="auto"/>
          <w:color w:val="auto"/>
        </w:rPr>
        <w:t>Section 10(b)(i)</w:t>
      </w:r>
      <w:r>
        <w:rPr>
          <w:rFonts w:ascii="Times New Roman" w:cs="Times New Roman" w:eastAsia="Times New Roman" w:hAnsi="Times New Roman"/>
          <w:sz w:val="17"/>
          <w:szCs w:val="17"/>
          <w:color w:val="auto"/>
        </w:rPr>
        <w:t xml:space="preserve"> (except that for purposes of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term “Nominating Person” will be substituted for the term “Proposing Person” in all places where it appears in </w:t>
      </w:r>
      <w:r>
        <w:rPr>
          <w:rFonts w:ascii="Times New Roman" w:cs="Times New Roman" w:eastAsia="Times New Roman" w:hAnsi="Times New Roman"/>
          <w:sz w:val="17"/>
          <w:szCs w:val="17"/>
          <w:u w:val="single" w:color="auto"/>
          <w:color w:val="auto"/>
        </w:rPr>
        <w:t>Section 10(b)(i)</w:t>
      </w:r>
      <w:r>
        <w:rPr>
          <w:rFonts w:ascii="Times New Roman" w:cs="Times New Roman" w:eastAsia="Times New Roman" w:hAnsi="Times New Roman"/>
          <w:sz w:val="17"/>
          <w:szCs w:val="17"/>
          <w:color w:val="auto"/>
        </w:rPr>
        <w:t xml:space="preserve"> and any reference to “business” or “proposal” therein will be deemed to be a reference to the “nomination” contemplated by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520" w:hanging="322"/>
        <w:spacing w:after="0"/>
        <w:tabs>
          <w:tab w:leader="none" w:pos="25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the Nominee</w:t>
      </w:r>
      <w:r>
        <w:rPr>
          <w:rFonts w:ascii="Times New Roman" w:cs="Times New Roman" w:eastAsia="Times New Roman" w:hAnsi="Times New Roman"/>
          <w:sz w:val="17"/>
          <w:szCs w:val="17"/>
          <w:color w:val="auto"/>
        </w:rPr>
        <w:t>: As to each person whom the stockholder giving notice proposes to</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nominate for election as a director:</w:t>
      </w:r>
    </w:p>
    <w:p>
      <w:pPr>
        <w:spacing w:after="0" w:line="204" w:lineRule="exact"/>
        <w:rPr>
          <w:rFonts w:ascii="Times New Roman" w:cs="Times New Roman" w:eastAsia="Times New Roman" w:hAnsi="Times New Roman"/>
          <w:sz w:val="17"/>
          <w:szCs w:val="17"/>
          <w:color w:val="auto"/>
        </w:rPr>
      </w:pPr>
    </w:p>
    <w:p>
      <w:pPr>
        <w:ind w:left="3140" w:hanging="315"/>
        <w:spacing w:after="0"/>
        <w:tabs>
          <w:tab w:leader="none" w:pos="31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with respect to such proposed nominee that would be required to be set forth in a</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stockholder’s notice pursuant to </w:t>
      </w:r>
      <w:r>
        <w:rPr>
          <w:rFonts w:ascii="Times New Roman" w:cs="Times New Roman" w:eastAsia="Times New Roman" w:hAnsi="Times New Roman"/>
          <w:sz w:val="17"/>
          <w:szCs w:val="17"/>
          <w:u w:val="single" w:color="auto"/>
          <w:color w:val="auto"/>
        </w:rPr>
        <w:t>Section 10(b)(i)</w:t>
      </w:r>
      <w:r>
        <w:rPr>
          <w:rFonts w:ascii="Times New Roman" w:cs="Times New Roman" w:eastAsia="Times New Roman" w:hAnsi="Times New Roman"/>
          <w:sz w:val="17"/>
          <w:szCs w:val="17"/>
          <w:color w:val="auto"/>
        </w:rPr>
        <w:t xml:space="preserve"> if such proposed nominee were a Nominating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605155</wp:posOffset>
            </wp:positionV>
            <wp:extent cx="629158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29" w:name="page130"/>
    <w:bookmarkEnd w:id="129"/>
    <w:p>
      <w:pPr>
        <w:jc w:val="both"/>
        <w:ind w:firstLine="2825"/>
        <w:spacing w:after="0" w:line="269" w:lineRule="auto"/>
        <w:tabs>
          <w:tab w:leader="none" w:pos="313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relating to such proposed nominee that would be required to be disclosed in a proxy statement or other filing required pursuant to Section 14(a) under the Exchange Act to be made in connection with a general solicitation of proxies for an election of directors in a contested election (including such proposed nominee’s written consent to be named in the proxy statement as a nominee and to serve as a director if elected);</w:t>
      </w:r>
    </w:p>
    <w:p>
      <w:pPr>
        <w:spacing w:after="0" w:line="167" w:lineRule="exact"/>
        <w:rPr>
          <w:rFonts w:ascii="Times New Roman" w:cs="Times New Roman" w:eastAsia="Times New Roman" w:hAnsi="Times New Roman"/>
          <w:sz w:val="17"/>
          <w:szCs w:val="17"/>
          <w:color w:val="auto"/>
        </w:rPr>
      </w:pPr>
    </w:p>
    <w:p>
      <w:pPr>
        <w:jc w:val="both"/>
        <w:ind w:firstLine="2825"/>
        <w:spacing w:after="0" w:line="264" w:lineRule="auto"/>
        <w:tabs>
          <w:tab w:leader="none" w:pos="313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reasonably detailed description of all direct and indirect compensation and other material monetary agreements, arrangements or understandings during the past three years, any other material relationships, between or among such Nominating Person and its affiliates and associates, or others acting in concert therewith, on the one hand, and each proposed nominee and his or her affiliates, associates or others acting in concert therewith, on the other hand, including all information that would be required to be disclosed pursuant to Items 403 and 404 under Regulation S-K if the stockholder giving the notice or any other Nominating Person were the “registrant” for purposes of such rule and the proposed nominee were a director or executive officer of such registrant;</w:t>
      </w:r>
    </w:p>
    <w:p>
      <w:pPr>
        <w:spacing w:after="0" w:line="171" w:lineRule="exact"/>
        <w:rPr>
          <w:rFonts w:ascii="Times New Roman" w:cs="Times New Roman" w:eastAsia="Times New Roman" w:hAnsi="Times New Roman"/>
          <w:sz w:val="17"/>
          <w:szCs w:val="17"/>
          <w:color w:val="auto"/>
        </w:rPr>
      </w:pPr>
    </w:p>
    <w:p>
      <w:pPr>
        <w:jc w:val="both"/>
        <w:ind w:firstLine="2825"/>
        <w:spacing w:after="0" w:line="275" w:lineRule="auto"/>
        <w:tabs>
          <w:tab w:leader="none" w:pos="313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completed questionnaire (in the form provided by the Secretary upon written request) with respect to the identity, background and qualification of the proposed nominee and the background of any other person or entity on whose behalf the nomination is being made; and</w:t>
      </w:r>
    </w:p>
    <w:p>
      <w:pPr>
        <w:spacing w:after="0" w:line="163" w:lineRule="exact"/>
        <w:rPr>
          <w:rFonts w:ascii="Times New Roman" w:cs="Times New Roman" w:eastAsia="Times New Roman" w:hAnsi="Times New Roman"/>
          <w:sz w:val="17"/>
          <w:szCs w:val="17"/>
          <w:color w:val="auto"/>
        </w:rPr>
      </w:pPr>
    </w:p>
    <w:p>
      <w:pPr>
        <w:jc w:val="both"/>
        <w:ind w:firstLine="2825"/>
        <w:spacing w:after="0" w:line="260" w:lineRule="auto"/>
        <w:tabs>
          <w:tab w:leader="none" w:pos="313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representation and agreement (in the form provided by the Secretary upon written request) that the proposed nominee (1) is qualified and if elected intends to serve as a director of the Corporation for the entire term for which such proposed nominee is standing for election, (2) is not and will not become a party to (x) any agreement, arrangement or understanding with, and has not given any commitment or assurance to, any person or entity as to how the proposed nominee, if elected as a director of the Corporation, will act or vote on any issue or question (a “</w:t>
      </w:r>
      <w:r>
        <w:rPr>
          <w:rFonts w:ascii="Times New Roman" w:cs="Times New Roman" w:eastAsia="Times New Roman" w:hAnsi="Times New Roman"/>
          <w:sz w:val="17"/>
          <w:szCs w:val="17"/>
          <w:b w:val="1"/>
          <w:bCs w:val="1"/>
          <w:color w:val="auto"/>
        </w:rPr>
        <w:t>Voting Commitment</w:t>
      </w:r>
      <w:r>
        <w:rPr>
          <w:rFonts w:ascii="Times New Roman" w:cs="Times New Roman" w:eastAsia="Times New Roman" w:hAnsi="Times New Roman"/>
          <w:sz w:val="17"/>
          <w:szCs w:val="17"/>
          <w:color w:val="auto"/>
        </w:rPr>
        <w:t>”) that has not been disclosed to the Corporation or (y) any Voting Commitment that could limit or interfere with the proposed nominee’s ability to comply, if elected as a director of the Corporation, with the proposed nominee’s fiduciary duties under applicable law, (3)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(4) has read and, if elected as a director of the Corporation, the proposed nominee would be in compliance and will comply, with all applicable publicly disclosed corporate governance, ethics, conflict of interest, confidentiality and stock ownership and trading policies and guidelines of the Corporation.</w:t>
      </w:r>
    </w:p>
    <w:p>
      <w:pPr>
        <w:spacing w:after="0" w:line="17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Corporation may require any proposed nominee to furnish such other information as may be reasonably required by the Corporation to determine the qualifications and eligibility of such proposed nominee to serve as a director.</w:t>
      </w:r>
    </w:p>
    <w:p>
      <w:pPr>
        <w:spacing w:after="0" w:line="146" w:lineRule="exact"/>
        <w:rPr>
          <w:sz w:val="20"/>
          <w:szCs w:val="20"/>
          <w:color w:val="auto"/>
        </w:rPr>
      </w:pPr>
    </w:p>
    <w:p>
      <w:pPr>
        <w:ind w:firstLine="1572"/>
        <w:spacing w:after="0" w:line="295" w:lineRule="auto"/>
        <w:tabs>
          <w:tab w:leader="none" w:pos="1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Have Nominees Included</w:t>
      </w:r>
      <w:r>
        <w:rPr>
          <w:rFonts w:ascii="Times New Roman" w:cs="Times New Roman" w:eastAsia="Times New Roman" w:hAnsi="Times New Roman"/>
          <w:sz w:val="17"/>
          <w:szCs w:val="17"/>
          <w:color w:val="auto"/>
        </w:rPr>
        <w:t xml:space="preserve">. A stockholder is not entitled to have its nominees included in the Corporation’s proxy statement solely as a result of such stockholder’s compliance with the foregoing provisions of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146" w:lineRule="exact"/>
        <w:rPr>
          <w:rFonts w:ascii="Times New Roman" w:cs="Times New Roman" w:eastAsia="Times New Roman" w:hAnsi="Times New Roman"/>
          <w:sz w:val="17"/>
          <w:szCs w:val="17"/>
          <w:color w:val="auto"/>
        </w:rPr>
      </w:pPr>
    </w:p>
    <w:p>
      <w:pPr>
        <w:jc w:val="both"/>
        <w:ind w:firstLine="1572"/>
        <w:spacing w:after="0" w:line="275" w:lineRule="auto"/>
        <w:tabs>
          <w:tab w:leader="none" w:pos="1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Requirement to Attend Annual Meeting</w:t>
      </w:r>
      <w:r>
        <w:rPr>
          <w:rFonts w:ascii="Times New Roman" w:cs="Times New Roman" w:eastAsia="Times New Roman" w:hAnsi="Times New Roman"/>
          <w:sz w:val="17"/>
          <w:szCs w:val="17"/>
          <w:color w:val="auto"/>
        </w:rPr>
        <w:t>. If a stockholder does not appear at the annual meeting to present its nomination, such nomination will be disregarded (notwithstanding that proxies in respect of such nomination may have been solicited, obtained or delivered).</w:t>
      </w:r>
    </w:p>
    <w:p>
      <w:pPr>
        <w:spacing w:after="0" w:line="163"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Provisions Relating to the Notice of Stockholder Business and Director Nominations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1" w:lineRule="auto"/>
        <w:tabs>
          <w:tab w:leader="none" w:pos="18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Timely Notice</w:t>
      </w:r>
      <w:r>
        <w:rPr>
          <w:rFonts w:ascii="Times New Roman" w:cs="Times New Roman" w:eastAsia="Times New Roman" w:hAnsi="Times New Roman"/>
          <w:sz w:val="17"/>
          <w:szCs w:val="17"/>
          <w:color w:val="auto"/>
        </w:rPr>
        <w:t xml:space="preserve">. To be timely, a stockholder’s notice required by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must be delivered to or mailed and received by the Secretary at the principal executive offices of the Corporation not less than one hundred twenty (120) nor more than one hundred fifty (150) days prior to the first anniversary of the preceding year’s annual meeting of stockholders (which date shall, for purposes of the Corporation’s annual meeting of stockholders in the year 2026, be deemed to have occurred on June 1, 2025);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date of the annual meeting is scheduled for a date more than thirty (30) days prior to or more than sixty (60) days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anniversary of the preceding year’s annual meeting, notice by the stockholder to be timely must be so delivered not later than the close of business on the later of the one hundred twentieth (120</w:t>
      </w:r>
      <w:r>
        <w:rPr>
          <w:rFonts w:ascii="Times New Roman" w:cs="Times New Roman" w:eastAsia="Times New Roman" w:hAnsi="Times New Roman"/>
          <w:sz w:val="16"/>
          <w:szCs w:val="16"/>
          <w:color w:val="auto"/>
        </w:rPr>
        <w:t>th</w:t>
      </w:r>
      <w:r>
        <w:rPr>
          <w:rFonts w:ascii="Times New Roman" w:cs="Times New Roman" w:eastAsia="Times New Roman" w:hAnsi="Times New Roman"/>
          <w:sz w:val="17"/>
          <w:szCs w:val="17"/>
          <w:color w:val="auto"/>
        </w:rPr>
        <w:t>) day prior to such annual meeting and the tenth (10th) day following the day on which public disclosure of the date of such meeting is first made. In no event will a recess or adjournment of an annual meeting (or any announcement of any such recess or adjournment)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454660</wp:posOffset>
            </wp:positionV>
            <wp:extent cx="629158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0" w:name="page131"/>
    <w:bookmarkEnd w:id="130"/>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commence a new time period (or extend any time period) for the giving of a stockholder’s notice as described above. Notwithstanding the foregoing, in the event the number of directors to be elected to the Board at the annual meeting is increased by the Board, and there is no public announcement by the Corporation naming the nominees for the additional directors at least one hundred thirty (130) days prior to the first anniversary of the date on which the Corporation held the preceding year’s annual meeting of stockholders, a stockholder’s notice pursuant to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will be considered timely, but only with respect to nominees for the additional directorships, if it is delivered to or mailed and received by the Secretary at the principal executive offices of the Corporation not later than the close of business on the tenth (10th) day following the day on which such public announcement is first made by the Corporation.</w:t>
      </w:r>
    </w:p>
    <w:p>
      <w:pPr>
        <w:spacing w:after="0" w:line="177" w:lineRule="exact"/>
        <w:rPr>
          <w:sz w:val="20"/>
          <w:szCs w:val="20"/>
          <w:color w:val="auto"/>
        </w:rPr>
      </w:pPr>
    </w:p>
    <w:p>
      <w:pPr>
        <w:jc w:val="both"/>
        <w:ind w:firstLine="1572"/>
        <w:spacing w:after="0" w:line="264" w:lineRule="auto"/>
        <w:tabs>
          <w:tab w:leader="none" w:pos="18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Updating Information in Notice</w:t>
      </w:r>
      <w:r>
        <w:rPr>
          <w:rFonts w:ascii="Times New Roman" w:cs="Times New Roman" w:eastAsia="Times New Roman" w:hAnsi="Times New Roman"/>
          <w:sz w:val="17"/>
          <w:szCs w:val="17"/>
          <w:color w:val="auto"/>
        </w:rPr>
        <w:t xml:space="preserve">. A stockholder providing notice of business proposed to be brought before an annual meeting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or notice of any nomination to be made at an annual meeting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must further update and supplement such notice, if necessary, so that the information provided or required to be provided in such notice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as applicable, is true and correct as of the record date for notice of the meeting and as of the date that is ten (10) days prior to the meeting or any recess, adjournment or postponement thereof. Any such update and supplement must be delivered to, or mailed and received by, the Secretary at the principal executive offices of the Corporation, as promptly as practicable.</w:t>
      </w:r>
    </w:p>
    <w:p>
      <w:pPr>
        <w:spacing w:after="0" w:line="171" w:lineRule="exact"/>
        <w:rPr>
          <w:rFonts w:ascii="Times New Roman" w:cs="Times New Roman" w:eastAsia="Times New Roman" w:hAnsi="Times New Roman"/>
          <w:sz w:val="17"/>
          <w:szCs w:val="17"/>
          <w:color w:val="auto"/>
        </w:rPr>
      </w:pPr>
    </w:p>
    <w:p>
      <w:pPr>
        <w:ind w:left="1880" w:hanging="308"/>
        <w:spacing w:after="0"/>
        <w:tabs>
          <w:tab w:leader="none" w:pos="18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Determinations of Form, Effect of Noncompliance, Etc</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2198"/>
        <w:spacing w:after="0" w:line="260" w:lineRule="auto"/>
        <w:tabs>
          <w:tab w:leader="none" w:pos="250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presiding officer of any annual meeting will, if the facts warrant, determine that a proposal was not made in accordance with the procedures prescribed by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or that a nomination was not made in accordance with the procedures prescribed by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and if he or she should so determine, he or she will so declare to the meeting and the defective proposal or nomination, as applicable, will be disregarded. Notwithstanding anything in these Bylaws to the contrary: (i) no nominations shall be made or business shall be conducted at any annual meeting or special meeting except in accordance with the procedures set forth in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and (ii) unless otherwise required by law, if a Proposing Person intending to propose business or a Nominating Person intending to make nominations at an annual meeting or special meeting pursuant to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as applicable, does not provide the information required under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to the Corporation in accordance with the applicable timing requirements set forth in these Bylaws, or the Proposing Person or Nominating Person (or a qualified representative thereof) does not appear at the meeting to present the proposed business or nominations, such business or nominations shall not be considered, notwithstanding that proxies in respect of such business or nominations may have been received by the Corporation.</w:t>
      </w:r>
    </w:p>
    <w:p>
      <w:pPr>
        <w:spacing w:after="0" w:line="176" w:lineRule="exact"/>
        <w:rPr>
          <w:rFonts w:ascii="Times New Roman" w:cs="Times New Roman" w:eastAsia="Times New Roman" w:hAnsi="Times New Roman"/>
          <w:sz w:val="17"/>
          <w:szCs w:val="17"/>
          <w:color w:val="auto"/>
        </w:rPr>
      </w:pPr>
    </w:p>
    <w:p>
      <w:pPr>
        <w:jc w:val="both"/>
        <w:ind w:firstLine="2198"/>
        <w:spacing w:after="0" w:line="261" w:lineRule="auto"/>
        <w:tabs>
          <w:tab w:leader="none" w:pos="250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provisions of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and unless otherwise required by law, (A) if any Proposing Person (1) provides notice pursuant to Rule 14a-19(b) under the Exchange Act with respect to any nomination or business proposal and (2) subsequently fails to comply with the requirements of Rule 14a-19 under the Exchange Act (or fails to timely provide reasonable evidence sufficient to satisfy the Corporation that such Proposing Person has met the requirements of Rule 14a-19(a)(3) under the Exchange Act), then each applicable nomination or business proposal shall be disregarded, notwithstanding that the applicable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w:t>
      </w:r>
    </w:p>
    <w:p>
      <w:pPr>
        <w:spacing w:after="0" w:line="179" w:lineRule="exact"/>
        <w:rPr>
          <w:rFonts w:ascii="Times New Roman" w:cs="Times New Roman" w:eastAsia="Times New Roman" w:hAnsi="Times New Roman"/>
          <w:sz w:val="17"/>
          <w:szCs w:val="17"/>
          <w:color w:val="auto"/>
        </w:rPr>
      </w:pPr>
    </w:p>
    <w:p>
      <w:pPr>
        <w:ind w:left="1880" w:hanging="308"/>
        <w:spacing w:after="0"/>
        <w:tabs>
          <w:tab w:leader="none" w:pos="18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220" w:lineRule="exact"/>
        <w:rPr>
          <w:rFonts w:ascii="Times New Roman" w:cs="Times New Roman" w:eastAsia="Times New Roman" w:hAnsi="Times New Roman"/>
          <w:sz w:val="17"/>
          <w:szCs w:val="17"/>
          <w:color w:val="auto"/>
        </w:rPr>
      </w:pPr>
    </w:p>
    <w:p>
      <w:pPr>
        <w:jc w:val="both"/>
        <w:ind w:firstLine="2198"/>
        <w:spacing w:after="0" w:line="277" w:lineRule="auto"/>
        <w:tabs>
          <w:tab w:leader="none" w:pos="250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public disclosure</w:t>
      </w:r>
      <w:r>
        <w:rPr>
          <w:rFonts w:ascii="Times New Roman" w:cs="Times New Roman" w:eastAsia="Times New Roman" w:hAnsi="Times New Roman"/>
          <w:sz w:val="17"/>
          <w:szCs w:val="17"/>
          <w:color w:val="auto"/>
        </w:rPr>
        <w:t>” means disclosure in a press release reported by the Dow Jones News Service, Bloomberg, Associated Press or comparable national news service or in a document filed by the Corporation with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Exchange Act or furnished by the Corporation to stockholders.</w:t>
      </w:r>
    </w:p>
    <w:p>
      <w:pPr>
        <w:spacing w:after="0" w:line="158" w:lineRule="exact"/>
        <w:rPr>
          <w:rFonts w:ascii="Times New Roman" w:cs="Times New Roman" w:eastAsia="Times New Roman" w:hAnsi="Times New Roman"/>
          <w:sz w:val="17"/>
          <w:szCs w:val="17"/>
          <w:color w:val="auto"/>
        </w:rPr>
      </w:pPr>
    </w:p>
    <w:p>
      <w:pPr>
        <w:jc w:val="both"/>
        <w:ind w:firstLine="2198"/>
        <w:spacing w:after="0" w:line="270" w:lineRule="auto"/>
        <w:tabs>
          <w:tab w:leader="none" w:pos="250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Sections 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Proposing Person</w:t>
      </w:r>
      <w:r>
        <w:rPr>
          <w:rFonts w:ascii="Times New Roman" w:cs="Times New Roman" w:eastAsia="Times New Roman" w:hAnsi="Times New Roman"/>
          <w:sz w:val="17"/>
          <w:szCs w:val="17"/>
          <w:color w:val="auto"/>
        </w:rPr>
        <w:t>” means (A) the stockholder providing the notice of business proposed to be brought before an annual meeting, (B) the beneficial owner or beneficial owners, if different, on whose behalf the notice of the business proposed to be brought before the annual meeting is given, and (C) any Affiliate or Associate (each within the meaning of Rule 12b-2 under the Exchange Act) of such stockholder or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448945</wp:posOffset>
            </wp:positionV>
            <wp:extent cx="629158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1" w:name="page132"/>
    <w:bookmarkEnd w:id="131"/>
    <w:p>
      <w:pPr>
        <w:jc w:val="both"/>
        <w:ind w:firstLine="2198"/>
        <w:spacing w:after="0" w:line="270" w:lineRule="auto"/>
        <w:tabs>
          <w:tab w:leader="none" w:pos="2506"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Sections 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Nominating Person</w:t>
      </w:r>
      <w:r>
        <w:rPr>
          <w:rFonts w:ascii="Times New Roman" w:cs="Times New Roman" w:eastAsia="Times New Roman" w:hAnsi="Times New Roman"/>
          <w:sz w:val="17"/>
          <w:szCs w:val="17"/>
          <w:color w:val="auto"/>
        </w:rPr>
        <w:t>” means (A) the stockholder providing the notice of the nomination proposed made to be at an annual meeting, (B) the beneficial owner or beneficial owners, if different, on whose behalf the notice of nomination proposed to be made at the annual meeting is given, and (C) any Affiliate or Associate (each within the meaning of Rule 12b-2 under the Exchange Act) of such stockholder or beneficial owner.</w:t>
      </w:r>
    </w:p>
    <w:p>
      <w:pPr>
        <w:spacing w:after="0" w:line="166"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Dates</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59" w:lineRule="auto"/>
        <w:tabs>
          <w:tab w:leader="none" w:pos="18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Record Dates</w:t>
      </w:r>
      <w:r>
        <w:rPr>
          <w:rFonts w:ascii="Times New Roman" w:cs="Times New Roman" w:eastAsia="Times New Roman" w:hAnsi="Times New Roman"/>
          <w:sz w:val="17"/>
          <w:szCs w:val="17"/>
          <w:color w:val="auto"/>
        </w:rPr>
        <w:t xml:space="preserve">. In order that the Corporation may determine the stockholders entitled to notice of any meeting of stockholders, the Board may fix a record date, which will not precede the date upon which the Board resolution fixing the same is adopted and will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will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will apply to any recess or adjournment of the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Board may fix a new record date for the determination of stockholders entitled to vote at the recessed or adjourned meeting, and in such case shall also fix as the record date for stockholders entitled to such notice of such recessed or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xml:space="preserve"> at the recessed or adjourned meeting.</w:t>
      </w:r>
    </w:p>
    <w:p>
      <w:pPr>
        <w:spacing w:after="0" w:line="183" w:lineRule="exact"/>
        <w:rPr>
          <w:rFonts w:ascii="Times New Roman" w:cs="Times New Roman" w:eastAsia="Times New Roman" w:hAnsi="Times New Roman"/>
          <w:sz w:val="17"/>
          <w:szCs w:val="17"/>
          <w:color w:val="auto"/>
        </w:rPr>
      </w:pPr>
    </w:p>
    <w:p>
      <w:pPr>
        <w:jc w:val="both"/>
        <w:ind w:firstLine="1572"/>
        <w:spacing w:after="0" w:line="266" w:lineRule="auto"/>
        <w:tabs>
          <w:tab w:leader="none" w:pos="18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Record Dates</w:t>
      </w:r>
      <w:r>
        <w:rPr>
          <w:rFonts w:ascii="Times New Roman" w:cs="Times New Roman" w:eastAsia="Times New Roman" w:hAnsi="Times New Roman"/>
          <w:sz w:val="17"/>
          <w:szCs w:val="17"/>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will not be more than sixty (60) days prior to such action. If no record date is fixed, the record date for determining stockholders for any such purpose will be at the close of business on the day on which the Board adopts the resolution relating thereto.</w:t>
      </w:r>
    </w:p>
    <w:p>
      <w:pPr>
        <w:spacing w:after="0" w:line="169" w:lineRule="exact"/>
        <w:rPr>
          <w:rFonts w:ascii="Times New Roman" w:cs="Times New Roman" w:eastAsia="Times New Roman" w:hAnsi="Times New Roman"/>
          <w:sz w:val="17"/>
          <w:szCs w:val="17"/>
          <w:color w:val="auto"/>
        </w:rPr>
      </w:pPr>
    </w:p>
    <w:p>
      <w:pPr>
        <w:jc w:val="both"/>
        <w:ind w:firstLine="1572"/>
        <w:spacing w:after="0" w:line="275" w:lineRule="auto"/>
        <w:tabs>
          <w:tab w:leader="none" w:pos="18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Identity of Registered Holder</w:t>
      </w:r>
      <w:r>
        <w:rPr>
          <w:rFonts w:ascii="Times New Roman" w:cs="Times New Roman" w:eastAsia="Times New Roman" w:hAnsi="Times New Roman"/>
          <w:sz w:val="17"/>
          <w:szCs w:val="17"/>
          <w:color w:val="auto"/>
        </w:rPr>
        <w:t>. The Corporation will be entitled to treat the person in whose name any share of its stock is registered as the owner thereof for all purposes, and will not be bound to recognize any equitable or other claim to, or interest in, such share on the part of any other person, whether or not the Corporation has notice thereof, except as expressly provided by applicable law.</w:t>
      </w:r>
    </w:p>
    <w:p>
      <w:pPr>
        <w:spacing w:after="0" w:line="163"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Recesses and Adjournments</w:t>
      </w:r>
      <w:r>
        <w:rPr>
          <w:rFonts w:ascii="Times New Roman" w:cs="Times New Roman" w:eastAsia="Times New Roman" w:hAnsi="Times New Roman"/>
          <w:sz w:val="17"/>
          <w:szCs w:val="17"/>
          <w:color w:val="auto"/>
        </w:rPr>
        <w:t>. A meeting of stockholders may be recessed or adjourned from time to time by the presiding officer of the meeting. Upon any recessed or adjourned meeting being reconvened, any business may be transacted which properly could have been transacted in the absence of such recess or adjournment.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222" w:lineRule="exact"/>
        <w:rPr>
          <w:sz w:val="20"/>
          <w:szCs w:val="20"/>
          <w:color w:val="auto"/>
        </w:rPr>
      </w:pPr>
    </w:p>
    <w:p>
      <w:pPr>
        <w:ind w:left="1260" w:hanging="628"/>
        <w:spacing w:after="0"/>
        <w:tabs>
          <w:tab w:leader="none" w:pos="12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Function</w:t>
      </w:r>
      <w:r>
        <w:rPr>
          <w:rFonts w:ascii="Times New Roman" w:cs="Times New Roman" w:eastAsia="Times New Roman" w:hAnsi="Times New Roman"/>
          <w:sz w:val="17"/>
          <w:szCs w:val="17"/>
          <w:color w:val="auto"/>
        </w:rPr>
        <w:t>. The business and affairs of the Corporation will be managed under the direction of the Board.</w:t>
      </w:r>
    </w:p>
    <w:p>
      <w:pPr>
        <w:spacing w:after="0" w:line="222" w:lineRule="exact"/>
        <w:rPr>
          <w:rFonts w:ascii="Times New Roman" w:cs="Times New Roman" w:eastAsia="Times New Roman" w:hAnsi="Times New Roman"/>
          <w:sz w:val="17"/>
          <w:szCs w:val="17"/>
          <w:color w:val="auto"/>
        </w:rPr>
      </w:pPr>
    </w:p>
    <w:p>
      <w:pPr>
        <w:jc w:val="both"/>
        <w:ind w:firstLine="632"/>
        <w:spacing w:after="0" w:line="266" w:lineRule="auto"/>
        <w:tabs>
          <w:tab w:leader="none" w:pos="125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Election and Terms</w:t>
      </w:r>
      <w:r>
        <w:rPr>
          <w:rFonts w:ascii="Times New Roman" w:cs="Times New Roman" w:eastAsia="Times New Roman" w:hAnsi="Times New Roman"/>
          <w:sz w:val="17"/>
          <w:szCs w:val="17"/>
          <w:color w:val="auto"/>
        </w:rPr>
        <w:t>. Subject to the rights, if any, of any series of Preferred Stock to elect additional directors under circumstances specified in a Preferred Stock Designation, and to the minimum and maximum number of authorized directors provided in the Certificate of Incorporation, the authorized number of directors may be fixed from time to time only by a resolution adopted by the Board. The directors, other than those who may be elected by the holders of any series of the Preferred Stock, will be classified with respect to the time for which they severally hold office in accordance with the provisions of the Certificate of Incorporation.</w:t>
      </w:r>
    </w:p>
    <w:p>
      <w:pPr>
        <w:spacing w:after="0" w:line="169"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Directors may be removed from office only in the manner provided in the Certificate of Incorporation and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605155</wp:posOffset>
            </wp:positionV>
            <wp:extent cx="629158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32" w:name="page133"/>
    <w:bookmarkEnd w:id="132"/>
    <w:p>
      <w:pPr>
        <w:jc w:val="both"/>
        <w:ind w:left="-460" w:firstLine="632"/>
        <w:spacing w:after="0" w:line="269"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Any director may resign at any time upon notice given in writing or by electronic transmission to the Chairperson, if any, the President, the Chief Executive Officer or the Secretary. Any resignation is effective when the resignation is delivered to the Corporation unless the resignation specifies a later effective date or an effective date that is contingent upon the occurrence or non-occurrence of one or more specified events.</w:t>
      </w:r>
    </w:p>
    <w:p>
      <w:pPr>
        <w:spacing w:after="0" w:line="167" w:lineRule="exact"/>
        <w:rPr>
          <w:rFonts w:ascii="Times New Roman" w:cs="Times New Roman" w:eastAsia="Times New Roman" w:hAnsi="Times New Roman"/>
          <w:sz w:val="17"/>
          <w:szCs w:val="17"/>
          <w:color w:val="auto"/>
        </w:rPr>
      </w:pPr>
    </w:p>
    <w:p>
      <w:pPr>
        <w:jc w:val="both"/>
        <w:ind w:left="-460" w:firstLine="632"/>
        <w:spacing w:after="0" w:line="275"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may be held immediately after the annual meeting of the stockholders and at such other time and place either within or without the State of Delaware as may from time to time be determined by the Board. Notice of regular meetings of the Board need not be given.</w:t>
      </w:r>
    </w:p>
    <w:p>
      <w:pPr>
        <w:spacing w:after="0" w:line="163" w:lineRule="exact"/>
        <w:rPr>
          <w:rFonts w:ascii="Times New Roman" w:cs="Times New Roman" w:eastAsia="Times New Roman" w:hAnsi="Times New Roman"/>
          <w:sz w:val="17"/>
          <w:szCs w:val="17"/>
          <w:color w:val="auto"/>
        </w:rPr>
      </w:pPr>
    </w:p>
    <w:p>
      <w:pPr>
        <w:ind w:left="-460" w:firstLine="632"/>
        <w:spacing w:after="0" w:line="295"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held at any time or place within or without the State of Delaware whenever called by the Chief Executive Officer, President, any Vice President, the Secretary, or by any member of the Board.</w:t>
      </w:r>
    </w:p>
    <w:p>
      <w:pPr>
        <w:spacing w:after="0" w:line="146" w:lineRule="exact"/>
        <w:rPr>
          <w:rFonts w:ascii="Times New Roman" w:cs="Times New Roman" w:eastAsia="Times New Roman" w:hAnsi="Times New Roman"/>
          <w:sz w:val="17"/>
          <w:szCs w:val="17"/>
          <w:color w:val="auto"/>
        </w:rPr>
      </w:pPr>
    </w:p>
    <w:p>
      <w:pPr>
        <w:jc w:val="both"/>
        <w:ind w:left="-460" w:firstLine="632"/>
        <w:spacing w:after="0" w:line="260"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 Voting</w:t>
      </w:r>
      <w:r>
        <w:rPr>
          <w:rFonts w:ascii="Times New Roman" w:cs="Times New Roman" w:eastAsia="Times New Roman" w:hAnsi="Times New Roman"/>
          <w:sz w:val="17"/>
          <w:szCs w:val="17"/>
          <w:color w:val="auto"/>
        </w:rPr>
        <w:t xml:space="preserve">. At all meetings of the Board, a majority of the directors at any time in office will constitute a quorum of the Board for the transaction of business. Except for action to be taken by committees of the Board as provided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and except as otherwise provided by the DGCL, the Certificate of Incorporation or these Bylaws, the act of a majority of the directors present at any meeting at which there is a quorum will be the act of the Board. If a quorum is not present at any meeting of the Board, the directors present thereat may adjourn the meeting from time to time to another place, time, or date, without notice other than announcement at the meeting, until a quorum is present. Unless otherwise restricted by the Certificate of Incorporation, these Bylaws or applicable law, any action required to be taken at a meeting of the Board or any committee thereof, may be taken without a meeting if all directors or members of such committee, as the case may be, consent thereto in writing or by electronic transmission and any consent may be documented, signed and delivered in accordance with applicable law. After an action is taken by unanimous written consent, such consent shall be filed with the minutes of proceedings for the Board or committee in accordance with applicable law.</w:t>
      </w:r>
    </w:p>
    <w:p>
      <w:pPr>
        <w:spacing w:after="0" w:line="179" w:lineRule="exact"/>
        <w:rPr>
          <w:rFonts w:ascii="Times New Roman" w:cs="Times New Roman" w:eastAsia="Times New Roman" w:hAnsi="Times New Roman"/>
          <w:sz w:val="17"/>
          <w:szCs w:val="17"/>
          <w:color w:val="auto"/>
        </w:rPr>
      </w:pPr>
    </w:p>
    <w:p>
      <w:pPr>
        <w:jc w:val="both"/>
        <w:ind w:left="-460" w:firstLine="632"/>
        <w:spacing w:after="0" w:line="269"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 in Meetings by Remote Communications</w:t>
      </w:r>
      <w:r>
        <w:rPr>
          <w:rFonts w:ascii="Times New Roman" w:cs="Times New Roman" w:eastAsia="Times New Roman" w:hAnsi="Times New Roman"/>
          <w:sz w:val="17"/>
          <w:szCs w:val="17"/>
          <w:color w:val="auto"/>
        </w:rPr>
        <w:t>. Members of the Board or any committee designated by the Board may participate in a meeting of the Board or any such committee, as the case may be, by means of conference telephone or other communications equipment by means of which all persons participating in the meeting can hear each other, and such participation in a meeting will constitute presence in person at the meeting.</w:t>
      </w:r>
    </w:p>
    <w:p>
      <w:pPr>
        <w:spacing w:after="0" w:line="167" w:lineRule="exact"/>
        <w:rPr>
          <w:rFonts w:ascii="Times New Roman" w:cs="Times New Roman" w:eastAsia="Times New Roman" w:hAnsi="Times New Roman"/>
          <w:sz w:val="17"/>
          <w:szCs w:val="17"/>
          <w:color w:val="auto"/>
        </w:rPr>
      </w:pPr>
    </w:p>
    <w:p>
      <w:pPr>
        <w:jc w:val="both"/>
        <w:ind w:left="-460" w:firstLine="632"/>
        <w:spacing w:after="0" w:line="259"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may designate one (1) or more committees, each committee to consist of one (1) or more of the directors of the Board. The Board may designate one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Any resolution of the Board establishing or directing any committee of the Board or establishing or amending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81" w:lineRule="exact"/>
        <w:rPr>
          <w:rFonts w:ascii="Times New Roman" w:cs="Times New Roman" w:eastAsia="Times New Roman" w:hAnsi="Times New Roman"/>
          <w:sz w:val="17"/>
          <w:szCs w:val="17"/>
          <w:color w:val="auto"/>
        </w:rPr>
      </w:pPr>
    </w:p>
    <w:p>
      <w:pPr>
        <w:jc w:val="both"/>
        <w:ind w:left="-460" w:firstLine="632"/>
        <w:spacing w:after="0" w:line="275"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The Board may establish the compensation of directors, including without limitation compensation for membership on the Board and on committees of the Board, attendance at meetings of the Board or committees of the Board, and for other services provided to the Corporation or at the request of the Board.</w:t>
      </w:r>
    </w:p>
    <w:p>
      <w:pPr>
        <w:spacing w:after="0" w:line="163" w:lineRule="exact"/>
        <w:rPr>
          <w:rFonts w:ascii="Times New Roman" w:cs="Times New Roman" w:eastAsia="Times New Roman" w:hAnsi="Times New Roman"/>
          <w:sz w:val="17"/>
          <w:szCs w:val="17"/>
          <w:color w:val="auto"/>
        </w:rPr>
      </w:pPr>
    </w:p>
    <w:p>
      <w:pPr>
        <w:ind w:left="-460" w:firstLine="632"/>
        <w:spacing w:after="0" w:line="295" w:lineRule="auto"/>
        <w:tabs>
          <w:tab w:leader="none" w:pos="79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Rules</w:t>
      </w:r>
      <w:r>
        <w:rPr>
          <w:rFonts w:ascii="Times New Roman" w:cs="Times New Roman" w:eastAsia="Times New Roman" w:hAnsi="Times New Roman"/>
          <w:sz w:val="17"/>
          <w:szCs w:val="17"/>
          <w:color w:val="auto"/>
        </w:rPr>
        <w:t>. The Board may adopt rules and regulations for the conduct of meetings and the oversight of the management of the affairs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568325</wp:posOffset>
            </wp:positionV>
            <wp:extent cx="629158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460"/>
          </w:cols>
          <w:pgMar w:left="1440" w:top="852" w:right="999" w:bottom="1440" w:gutter="0" w:footer="0" w:header="0"/>
        </w:sectPr>
      </w:pPr>
    </w:p>
    <w:bookmarkStart w:id="133" w:name="page134"/>
    <w:bookmarkEnd w:id="133"/>
    <w:p>
      <w:pPr>
        <w:jc w:val="both"/>
        <w:ind w:left="-460" w:firstLine="632"/>
        <w:spacing w:after="0" w:line="264" w:lineRule="auto"/>
        <w:tabs>
          <w:tab w:leader="none" w:pos="79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Chairperson; Vice Chairperson</w:t>
      </w:r>
      <w:r>
        <w:rPr>
          <w:rFonts w:ascii="Times New Roman" w:cs="Times New Roman" w:eastAsia="Times New Roman" w:hAnsi="Times New Roman"/>
          <w:sz w:val="17"/>
          <w:szCs w:val="17"/>
          <w:color w:val="auto"/>
        </w:rPr>
        <w:t>. The Board of Directors may appoint from its members a Chairperson and a Vice Chairperson, neither of whom need be an employee or officer of the Corporation. If the Board of Directors appoints a Chairperson, such Chairperson shall perform such duties and possess such powers as are assigned by the Board of Directors. If the Board of Directors appoints a Vice Chairperson, such Vice Chairperson shall perform such duties and possess such powers as are assigned by the Board of Directors. Unless otherwise provided by the Board of Directors, the Chairperson or, in his or her absence, the Vice Chairperson, if any, shall preside at all meetings of the Board of Directors.</w:t>
      </w:r>
    </w:p>
    <w:p>
      <w:pPr>
        <w:spacing w:after="0" w:line="171" w:lineRule="exact"/>
        <w:rPr>
          <w:rFonts w:ascii="Times New Roman" w:cs="Times New Roman" w:eastAsia="Times New Roman" w:hAnsi="Times New Roman"/>
          <w:sz w:val="17"/>
          <w:szCs w:val="17"/>
          <w:color w:val="auto"/>
        </w:rPr>
      </w:pPr>
    </w:p>
    <w:p>
      <w:pPr>
        <w:ind w:left="800" w:hanging="628"/>
        <w:spacing w:after="0"/>
        <w:tabs>
          <w:tab w:leader="none" w:pos="8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left="-460" w:firstLine="1572"/>
        <w:spacing w:after="0" w:line="259" w:lineRule="auto"/>
        <w:tabs>
          <w:tab w:leader="none" w:pos="14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Indemnification</w:t>
      </w:r>
      <w:r>
        <w:rPr>
          <w:rFonts w:ascii="Times New Roman" w:cs="Times New Roman" w:eastAsia="Times New Roman" w:hAnsi="Times New Roman"/>
          <w:sz w:val="17"/>
          <w:szCs w:val="17"/>
          <w:color w:val="auto"/>
        </w:rPr>
        <w:t>. Each person who was or is made a party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by reason of the fact that he or she or a person of whom he or she is the legal representative, is or was a director or an officer of the Corporation (including any constituent corporation absorbed in a merger) or, while serving as a director or officer of the Corporation, is or was serving at the request of the Corporation (including any such constituent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or to be paid in settlement) reasonably incurred or suffered by such indemnitee in connection therewith;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except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w:t>
      </w:r>
    </w:p>
    <w:p>
      <w:pPr>
        <w:spacing w:after="0" w:line="386" w:lineRule="exact"/>
        <w:rPr>
          <w:rFonts w:ascii="Times New Roman" w:cs="Times New Roman" w:eastAsia="Times New Roman" w:hAnsi="Times New Roman"/>
          <w:sz w:val="17"/>
          <w:szCs w:val="17"/>
          <w:color w:val="auto"/>
        </w:rPr>
      </w:pPr>
    </w:p>
    <w:p>
      <w:pPr>
        <w:jc w:val="both"/>
        <w:ind w:left="-460" w:firstLine="1572"/>
        <w:spacing w:after="0" w:line="260" w:lineRule="auto"/>
        <w:tabs>
          <w:tab w:leader="none" w:pos="14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Advancement of Expenses</w:t>
      </w:r>
      <w:r>
        <w:rPr>
          <w:rFonts w:ascii="Times New Roman" w:cs="Times New Roman" w:eastAsia="Times New Roman" w:hAnsi="Times New Roman"/>
          <w:sz w:val="17"/>
          <w:szCs w:val="17"/>
          <w:color w:val="auto"/>
        </w:rPr>
        <w:t xml:space="preserve">. In addition to the right to indemnification conferred in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an indemnitee shall also have the right to be paid by the Corporation, to the fullest extent not prohibited by applicable law, the expenses (including attorney’s fees) incurred by indemnitee in appearing at, participating in or defending any such proceeding in advance of its final disposition or in connection with a proceeding brought to establish or enforce a right to indemnification or advancement of expenses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(which shall be governed by </w:t>
      </w:r>
      <w:r>
        <w:rPr>
          <w:rFonts w:ascii="Times New Roman" w:cs="Times New Roman" w:eastAsia="Times New Roman" w:hAnsi="Times New Roman"/>
          <w:sz w:val="17"/>
          <w:szCs w:val="17"/>
          <w:u w:val="single" w:color="auto"/>
          <w:color w:val="auto"/>
        </w:rPr>
        <w:t>Section 27(c)</w:t>
      </w:r>
      <w:r>
        <w:rPr>
          <w:rFonts w:ascii="Times New Roman" w:cs="Times New Roman" w:eastAsia="Times New Roman" w:hAnsi="Times New Roman"/>
          <w:sz w:val="17"/>
          <w:szCs w:val="17"/>
          <w:color w:val="auto"/>
        </w:rPr>
        <w:t xml:space="preserve"> (hereinafter an “</w:t>
      </w:r>
      <w:r>
        <w:rPr>
          <w:rFonts w:ascii="Times New Roman" w:cs="Times New Roman" w:eastAsia="Times New Roman" w:hAnsi="Times New Roman"/>
          <w:sz w:val="17"/>
          <w:szCs w:val="17"/>
          <w:b w:val="1"/>
          <w:bCs w:val="1"/>
          <w:color w:val="auto"/>
        </w:rPr>
        <w:t>advancement of expenses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DGCL requires or in the case of an advancement of expenses made in a proceeding brought to establish or enforce a right to indemnification or advancement of expenses,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17"/>
          <w:szCs w:val="17"/>
          <w:b w:val="1"/>
          <w:bCs w:val="1"/>
          <w:color w:val="auto"/>
        </w:rPr>
        <w:t>undertaking</w:t>
      </w:r>
      <w:r>
        <w:rPr>
          <w:rFonts w:ascii="Times New Roman" w:cs="Times New Roman" w:eastAsia="Times New Roman" w:hAnsi="Times New Roman"/>
          <w:sz w:val="17"/>
          <w:szCs w:val="17"/>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7"/>
          <w:szCs w:val="17"/>
          <w:b w:val="1"/>
          <w:bCs w:val="1"/>
          <w:color w:val="auto"/>
        </w:rPr>
        <w:t>final adjudication</w:t>
      </w:r>
      <w:r>
        <w:rPr>
          <w:rFonts w:ascii="Times New Roman" w:cs="Times New Roman" w:eastAsia="Times New Roman" w:hAnsi="Times New Roman"/>
          <w:sz w:val="17"/>
          <w:szCs w:val="17"/>
          <w:color w:val="auto"/>
        </w:rPr>
        <w:t xml:space="preserve">”) that such indemnitee is not entitled to be indemnified under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xml:space="preserve"> or otherwise.</w:t>
      </w:r>
    </w:p>
    <w:p>
      <w:pPr>
        <w:spacing w:after="0" w:line="385" w:lineRule="exact"/>
        <w:rPr>
          <w:rFonts w:ascii="Times New Roman" w:cs="Times New Roman" w:eastAsia="Times New Roman" w:hAnsi="Times New Roman"/>
          <w:sz w:val="17"/>
          <w:szCs w:val="17"/>
          <w:color w:val="auto"/>
        </w:rPr>
      </w:pPr>
    </w:p>
    <w:p>
      <w:pPr>
        <w:jc w:val="both"/>
        <w:ind w:left="-460" w:firstLine="1572"/>
        <w:spacing w:after="0" w:line="261" w:lineRule="auto"/>
        <w:tabs>
          <w:tab w:leader="none" w:pos="14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Indemnitee to Bring Suit</w:t>
      </w:r>
      <w:r>
        <w:rPr>
          <w:rFonts w:ascii="Times New Roman" w:cs="Times New Roman" w:eastAsia="Times New Roman" w:hAnsi="Times New Roman"/>
          <w:sz w:val="17"/>
          <w:szCs w:val="17"/>
          <w:color w:val="auto"/>
        </w:rPr>
        <w:t xml:space="preserve">. If a claim under </w:t>
      </w:r>
      <w:r>
        <w:rPr>
          <w:rFonts w:ascii="Times New Roman" w:cs="Times New Roman" w:eastAsia="Times New Roman" w:hAnsi="Times New Roman"/>
          <w:sz w:val="17"/>
          <w:szCs w:val="17"/>
          <w:u w:val="single" w:color="auto"/>
          <w:color w:val="auto"/>
        </w:rPr>
        <w:t>Section 27(a)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xml:space="preserve"> is not paid in full by the Corporation within (i) sixty (60) days after a written claim for indemnification has been received by the Corporation or (ii) thirty (30)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454660</wp:posOffset>
            </wp:positionV>
            <wp:extent cx="629158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460"/>
          </w:cols>
          <w:pgMar w:left="1440" w:top="852" w:right="999" w:bottom="1440" w:gutter="0" w:footer="0" w:header="0"/>
        </w:sectPr>
      </w:pPr>
    </w:p>
    <w:bookmarkStart w:id="134" w:name="page135"/>
    <w:bookmarkEnd w:id="134"/>
    <w:p>
      <w:pPr>
        <w:jc w:val="both"/>
        <w:ind w:firstLine="1572"/>
        <w:spacing w:after="0" w:line="263" w:lineRule="auto"/>
        <w:tabs>
          <w:tab w:leader="none" w:pos="18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Not Exclusive</w:t>
      </w:r>
      <w:r>
        <w:rPr>
          <w:rFonts w:ascii="Times New Roman" w:cs="Times New Roman" w:eastAsia="Times New Roman" w:hAnsi="Times New Roman"/>
          <w:sz w:val="17"/>
          <w:szCs w:val="17"/>
          <w:color w:val="auto"/>
        </w:rPr>
        <w:t xml:space="preserve">. The provision of indemnification to or the advancement of expenses and costs to any indemnitee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the entitlement of any indemnitee to indemnification or advancement of expenses and costs under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385" w:lineRule="exact"/>
        <w:rPr>
          <w:rFonts w:ascii="Times New Roman" w:cs="Times New Roman" w:eastAsia="Times New Roman" w:hAnsi="Times New Roman"/>
          <w:sz w:val="17"/>
          <w:szCs w:val="17"/>
          <w:color w:val="auto"/>
        </w:rPr>
      </w:pPr>
    </w:p>
    <w:p>
      <w:pPr>
        <w:jc w:val="both"/>
        <w:ind w:firstLine="1572"/>
        <w:spacing w:after="0" w:line="261" w:lineRule="auto"/>
        <w:tabs>
          <w:tab w:leader="none" w:pos="18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Obligations; Reliance</w:t>
      </w:r>
      <w:r>
        <w:rPr>
          <w:rFonts w:ascii="Times New Roman" w:cs="Times New Roman" w:eastAsia="Times New Roman" w:hAnsi="Times New Roman"/>
          <w:sz w:val="17"/>
          <w:szCs w:val="17"/>
          <w:color w:val="auto"/>
        </w:rPr>
        <w:t xml:space="preserve">. The rights granted pursuant to the provisions of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without giving notice thereof to the Corporation. Such rights shall continue as to an indemnitee who has ceased to be a director or officer and shall inure to the benefit of the indemnitee’s heirs, executors and administrators. Any amendment, alteration or repeal of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75" w:lineRule="exact"/>
        <w:rPr>
          <w:rFonts w:ascii="Times New Roman" w:cs="Times New Roman" w:eastAsia="Times New Roman" w:hAnsi="Times New Roman"/>
          <w:sz w:val="17"/>
          <w:szCs w:val="17"/>
          <w:color w:val="auto"/>
        </w:rPr>
      </w:pPr>
    </w:p>
    <w:p>
      <w:pPr>
        <w:jc w:val="both"/>
        <w:ind w:firstLine="1572"/>
        <w:spacing w:after="0" w:line="269" w:lineRule="auto"/>
        <w:tabs>
          <w:tab w:leader="none" w:pos="18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7" w:lineRule="exact"/>
        <w:rPr>
          <w:rFonts w:ascii="Times New Roman" w:cs="Times New Roman" w:eastAsia="Times New Roman" w:hAnsi="Times New Roman"/>
          <w:sz w:val="17"/>
          <w:szCs w:val="17"/>
          <w:color w:val="auto"/>
        </w:rPr>
      </w:pPr>
    </w:p>
    <w:p>
      <w:pPr>
        <w:jc w:val="both"/>
        <w:ind w:firstLine="1572"/>
        <w:spacing w:after="0" w:line="266" w:lineRule="auto"/>
        <w:tabs>
          <w:tab w:leader="none" w:pos="18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Employees and Agents of the Corporation and Others</w:t>
      </w:r>
      <w:r>
        <w:rPr>
          <w:rFonts w:ascii="Times New Roman" w:cs="Times New Roman" w:eastAsia="Times New Roman" w:hAnsi="Times New Roman"/>
          <w:sz w:val="17"/>
          <w:szCs w:val="17"/>
          <w:color w:val="auto"/>
        </w:rPr>
        <w:t xml:space="preserve">. The Corporation may, to the extent authorized from time to time by the Board, grant rights to indemnification and to the advancement of expenses to any employee or agent of the Corporation and to any person (in addition to an indemnitee) serving at the request of the Corporation as an officer, director, employee or agent of any other enterprise to the fullest extent of the provisions of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with respect to the indemnification and advancement of expenses of indemnitees hereunder.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NOTICES</w:t>
      </w:r>
    </w:p>
    <w:p>
      <w:pPr>
        <w:spacing w:after="0" w:line="222" w:lineRule="exact"/>
        <w:rPr>
          <w:sz w:val="20"/>
          <w:szCs w:val="20"/>
          <w:color w:val="auto"/>
        </w:rPr>
      </w:pPr>
    </w:p>
    <w:p>
      <w:pPr>
        <w:ind w:left="1260" w:hanging="628"/>
        <w:spacing w:after="0"/>
        <w:tabs>
          <w:tab w:leader="none" w:pos="12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0" w:lineRule="auto"/>
        <w:tabs>
          <w:tab w:leader="none" w:pos="18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Notices</w:t>
      </w:r>
      <w:r>
        <w:rPr>
          <w:rFonts w:ascii="Times New Roman" w:cs="Times New Roman" w:eastAsia="Times New Roman" w:hAnsi="Times New Roman"/>
          <w:sz w:val="17"/>
          <w:szCs w:val="17"/>
          <w:color w:val="auto"/>
        </w:rPr>
        <w:t xml:space="preserve">. Except as otherwise provided by law, these Bylaws, or the Certificate of Incorporation, whenever by law or under the provisions of the Certificate of Incorporation or these Bylaws notice is required to be given to any director or stockholder, it will not be construed to require personal notice, but such notice may be given in writing, by mail or courier service or, to the extent permitted by the DGCL, by electronic transmission, addressed to such director or stockholder. Any notice sent to stockholders by mail or courier service shall be sent to the address of such stockholder as it appears on the records of the Corporation, with postage thereon prepaid, and such notice will be deemed to be given at the time when the same is deposited in the United States mail or with the courier service. Notices sent by electronic transmission shall be deemed effective as set forth in Section 232 of the DGCL. For purposes of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electronic transmission</w:t>
      </w:r>
      <w:r>
        <w:rPr>
          <w:rFonts w:ascii="Times New Roman" w:cs="Times New Roman" w:eastAsia="Times New Roman" w:hAnsi="Times New Roman"/>
          <w:sz w:val="17"/>
          <w:szCs w:val="17"/>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91" w:lineRule="exact"/>
        <w:rPr>
          <w:rFonts w:ascii="Times New Roman" w:cs="Times New Roman" w:eastAsia="Times New Roman" w:hAnsi="Times New Roman"/>
          <w:sz w:val="17"/>
          <w:szCs w:val="17"/>
          <w:color w:val="auto"/>
        </w:rPr>
      </w:pPr>
    </w:p>
    <w:p>
      <w:pPr>
        <w:ind w:firstLine="1572"/>
        <w:spacing w:after="0" w:line="295" w:lineRule="auto"/>
        <w:tabs>
          <w:tab w:leader="none" w:pos="18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to Directors</w:t>
      </w:r>
      <w:r>
        <w:rPr>
          <w:rFonts w:ascii="Times New Roman" w:cs="Times New Roman" w:eastAsia="Times New Roman" w:hAnsi="Times New Roman"/>
          <w:sz w:val="17"/>
          <w:szCs w:val="17"/>
          <w:color w:val="auto"/>
        </w:rPr>
        <w:t>. Notices to directors may be given by mail or courier service, telephone, electronic transmission or as otherwise may be permitted by these Bylaws.</w:t>
      </w:r>
    </w:p>
    <w:p>
      <w:pPr>
        <w:spacing w:after="0" w:line="146"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Waivers</w:t>
      </w:r>
      <w:r>
        <w:rPr>
          <w:rFonts w:ascii="Times New Roman" w:cs="Times New Roman" w:eastAsia="Times New Roman" w:hAnsi="Times New Roman"/>
          <w:sz w:val="17"/>
          <w:szCs w:val="17"/>
          <w:color w:val="auto"/>
        </w:rPr>
        <w:t>. Whenever any notice is required to be given by law or under the provisions of the Certificate of Incorporation or these Bylaws, a waiver thereof in writing, signed by the person entitled to such notice, or a waiver by electronic transmission by the person entitled to such notice, whether before or after the time of the event for which notice is to be given, will be deemed equivalent to such notice. Attendance of a person at a meeting will constitute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449580</wp:posOffset>
            </wp:positionV>
            <wp:extent cx="6291580"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5" w:name="page136"/>
    <w:bookmarkEnd w:id="135"/>
    <w:p>
      <w:pPr>
        <w:spacing w:after="0" w:line="295" w:lineRule="auto"/>
        <w:rPr>
          <w:sz w:val="20"/>
          <w:szCs w:val="20"/>
          <w:color w:val="auto"/>
        </w:rPr>
      </w:pPr>
      <w:r>
        <w:rPr>
          <w:rFonts w:ascii="Times New Roman" w:cs="Times New Roman" w:eastAsia="Times New Roman" w:hAnsi="Times New Roman"/>
          <w:sz w:val="17"/>
          <w:szCs w:val="17"/>
          <w:color w:val="auto"/>
        </w:rPr>
        <w:t>waiver of notice of such meeting, except when the person attends a meeting for the express purpose of objecting at the beginning of the meeting, to the transaction of any business because the meeting is not lawfully called or convened.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222" w:lineRule="exact"/>
        <w:rPr>
          <w:sz w:val="20"/>
          <w:szCs w:val="20"/>
          <w:color w:val="auto"/>
        </w:rPr>
      </w:pPr>
    </w:p>
    <w:p>
      <w:pPr>
        <w:ind w:left="1260" w:hanging="628"/>
        <w:spacing w:after="0"/>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w:t>
      </w:r>
    </w:p>
    <w:p>
      <w:pPr>
        <w:spacing w:after="0" w:line="222" w:lineRule="exact"/>
        <w:rPr>
          <w:rFonts w:ascii="Times New Roman" w:cs="Times New Roman" w:eastAsia="Times New Roman" w:hAnsi="Times New Roman"/>
          <w:sz w:val="17"/>
          <w:szCs w:val="17"/>
          <w:color w:val="auto"/>
        </w:rPr>
      </w:pPr>
    </w:p>
    <w:p>
      <w:pPr>
        <w:jc w:val="both"/>
        <w:ind w:firstLine="1572"/>
        <w:spacing w:after="0" w:line="261"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of the Corporation will be elected by the Board and will consist of officers with titles and duties as determined by the Board, but in any case shall include a Chief Executive Officer (which may be the President), a President, a Treasurer and a Secretary, all of whom shall be elected at the annual meeting of the Board. The Board may also choose one or more Vice Presidents (who may be given particular designations with respect to authority, function, or seniority), one or more Assistant Secretaries, one or more Assistant Treasurers and such other officers as the Board may from time to time determine. Notwithstanding the foregoing, the Board may authorize the Chief Executive Officer to appoint any person to any office other than the Secretary or Treasurer. Any number of offices may be held by the same person. Any of the offices may be left vacant from time to time as the Board may determine. In the case of the absence or disability of any officer of the Corporation or for any other reason deemed sufficient by a majority of the Board, the Board may delegate the absent or disabled officer’s powers or duties to any other officer or to any director.</w:t>
      </w:r>
    </w:p>
    <w:p>
      <w:pPr>
        <w:spacing w:after="0" w:line="175" w:lineRule="exact"/>
        <w:rPr>
          <w:rFonts w:ascii="Times New Roman" w:cs="Times New Roman" w:eastAsia="Times New Roman" w:hAnsi="Times New Roman"/>
          <w:sz w:val="17"/>
          <w:szCs w:val="17"/>
          <w:color w:val="auto"/>
        </w:rPr>
      </w:pPr>
    </w:p>
    <w:p>
      <w:pPr>
        <w:jc w:val="both"/>
        <w:ind w:firstLine="1572"/>
        <w:spacing w:after="0" w:line="262"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Unless the Board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The Chief Executive Officer may sign bonds, mortgages, certificates for shares and all other contracts and documents whether or not under the seal of the Corporation except in cases where the signing and execution thereof shall be expressly delegated by law, by the Board or by these Bylaws to some other officer or agent of the Corporation.</w:t>
      </w:r>
    </w:p>
    <w:p>
      <w:pPr>
        <w:spacing w:after="0" w:line="177" w:lineRule="exact"/>
        <w:rPr>
          <w:rFonts w:ascii="Times New Roman" w:cs="Times New Roman" w:eastAsia="Times New Roman" w:hAnsi="Times New Roman"/>
          <w:sz w:val="17"/>
          <w:szCs w:val="17"/>
          <w:color w:val="auto"/>
        </w:rPr>
      </w:pPr>
    </w:p>
    <w:p>
      <w:pPr>
        <w:jc w:val="both"/>
        <w:ind w:firstLine="1572"/>
        <w:spacing w:after="0" w:line="261"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or by these Bylaws to some other officer or agent of the Corporation. In general, the President shall perform all duties incident to the office of president and such other duties as the Chief Executive Officer (if the President is not the Chief Executive Officer) or the Board may from time to time prescribe.</w:t>
      </w:r>
    </w:p>
    <w:p>
      <w:pPr>
        <w:spacing w:after="0" w:line="387" w:lineRule="exact"/>
        <w:rPr>
          <w:rFonts w:ascii="Times New Roman" w:cs="Times New Roman" w:eastAsia="Times New Roman" w:hAnsi="Times New Roman"/>
          <w:sz w:val="17"/>
          <w:szCs w:val="17"/>
          <w:color w:val="auto"/>
        </w:rPr>
      </w:pPr>
    </w:p>
    <w:p>
      <w:pPr>
        <w:jc w:val="both"/>
        <w:ind w:firstLine="1572"/>
        <w:spacing w:after="0" w:line="275"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Each Vice President shall have such powers and perform such duties as may be assigned to him or her from time to time by the Board or the Chief Executive Officer (or the President if there is no Chief Executive Officer). The Board may assign to any Vice President the title of Executive Vice President, Senior Vice President or any other title selected by the Board.</w:t>
      </w:r>
    </w:p>
    <w:p>
      <w:pPr>
        <w:spacing w:after="0" w:line="163" w:lineRule="exact"/>
        <w:rPr>
          <w:rFonts w:ascii="Times New Roman" w:cs="Times New Roman" w:eastAsia="Times New Roman" w:hAnsi="Times New Roman"/>
          <w:sz w:val="17"/>
          <w:szCs w:val="17"/>
          <w:color w:val="auto"/>
        </w:rPr>
      </w:pPr>
    </w:p>
    <w:p>
      <w:pPr>
        <w:jc w:val="both"/>
        <w:ind w:firstLine="1572"/>
        <w:spacing w:after="0" w:line="266"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 Assistant Secretary</w:t>
      </w:r>
      <w:r>
        <w:rPr>
          <w:rFonts w:ascii="Times New Roman" w:cs="Times New Roman" w:eastAsia="Times New Roman" w:hAnsi="Times New Roman"/>
          <w:sz w:val="17"/>
          <w:szCs w:val="17"/>
          <w:color w:val="auto"/>
        </w:rPr>
        <w:t>. The Secretary, or an Assistant Secretary, shall attend all sessions of the Board and all meetings of the stockholders and record all votes and the minutes of all proceedings in a book to be kept for that purpose, and shall perform like duties for committees when required. He or she shall give, or cause to be given, notice of all meetings of the stockholders and meetings of the Board, and shall perform such other duties as may be assigned by the Board. The Secretary, or an Assistant Secretary, shall keep in safe custody the seal of the Corporation and have authority to affix the seal to all documents requiring it and attest to the same.</w:t>
      </w:r>
    </w:p>
    <w:p>
      <w:pPr>
        <w:spacing w:after="0" w:line="169" w:lineRule="exact"/>
        <w:rPr>
          <w:rFonts w:ascii="Times New Roman" w:cs="Times New Roman" w:eastAsia="Times New Roman" w:hAnsi="Times New Roman"/>
          <w:sz w:val="17"/>
          <w:szCs w:val="17"/>
          <w:color w:val="auto"/>
        </w:rPr>
      </w:pPr>
    </w:p>
    <w:p>
      <w:pPr>
        <w:jc w:val="both"/>
        <w:ind w:firstLine="1572"/>
        <w:spacing w:after="0" w:line="266"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Treasurer; Assistant Treasurer</w:t>
      </w:r>
      <w:r>
        <w:rPr>
          <w:rFonts w:ascii="Times New Roman" w:cs="Times New Roman" w:eastAsia="Times New Roman" w:hAnsi="Times New Roman"/>
          <w:sz w:val="17"/>
          <w:szCs w:val="17"/>
          <w:color w:val="auto"/>
        </w:rPr>
        <w:t>. The Treasurer, or an Assistant Treasurer, shall have the custody of the corporate funds and other property of the Corporation, except as otherwise provided by the Board, and shall keep full and accurate accounts of receipts and disbursements in books belonging to the Corporation and shall deposit all moneys and other valuable effects in the name and to the credit of the Corporation in such depositories as may be designated by the Board. The Treasurer, or an Assistant Treasurer, shall disburse the funds of the Corporation as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450850</wp:posOffset>
            </wp:positionV>
            <wp:extent cx="629158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6" w:name="page137"/>
    <w:bookmarkEnd w:id="136"/>
    <w:p>
      <w:pPr>
        <w:jc w:val="both"/>
        <w:spacing w:after="0" w:line="275" w:lineRule="auto"/>
        <w:rPr>
          <w:sz w:val="20"/>
          <w:szCs w:val="20"/>
          <w:color w:val="auto"/>
        </w:rPr>
      </w:pPr>
      <w:r>
        <w:rPr>
          <w:rFonts w:ascii="Times New Roman" w:cs="Times New Roman" w:eastAsia="Times New Roman" w:hAnsi="Times New Roman"/>
          <w:sz w:val="17"/>
          <w:szCs w:val="17"/>
          <w:color w:val="auto"/>
        </w:rPr>
        <w:t>be ordered by the Board, taking proper vouchers for such disbursements, and whenever requested by the Board, shall render an account of all his or her transactions as treasurer and of the financial condition of the Corporation, and shall perform such other duties as may be assigned by the Board.</w:t>
      </w:r>
    </w:p>
    <w:p>
      <w:pPr>
        <w:spacing w:after="0" w:line="163" w:lineRule="exact"/>
        <w:rPr>
          <w:sz w:val="20"/>
          <w:szCs w:val="20"/>
          <w:color w:val="auto"/>
        </w:rPr>
      </w:pPr>
    </w:p>
    <w:p>
      <w:pPr>
        <w:ind w:firstLine="1572"/>
        <w:spacing w:after="0" w:line="295" w:lineRule="auto"/>
        <w:tabs>
          <w:tab w:leader="none" w:pos="1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The Board may from time to time delegate the powers or duties of any officer to any other officer or agent, notwithstanding the provisions herein.</w:t>
      </w:r>
    </w:p>
    <w:p>
      <w:pPr>
        <w:spacing w:after="0" w:line="146" w:lineRule="exact"/>
        <w:rPr>
          <w:rFonts w:ascii="Times New Roman" w:cs="Times New Roman" w:eastAsia="Times New Roman" w:hAnsi="Times New Roman"/>
          <w:sz w:val="17"/>
          <w:szCs w:val="17"/>
          <w:color w:val="auto"/>
        </w:rPr>
      </w:pPr>
    </w:p>
    <w:p>
      <w:pPr>
        <w:jc w:val="both"/>
        <w:ind w:firstLine="1572"/>
        <w:spacing w:after="0" w:line="262" w:lineRule="auto"/>
        <w:tabs>
          <w:tab w:leader="none" w:pos="1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Securities Owned by the Corporation</w:t>
      </w:r>
      <w:r>
        <w:rPr>
          <w:rFonts w:ascii="Times New Roman" w:cs="Times New Roman" w:eastAsia="Times New Roman" w:hAnsi="Times New Roman"/>
          <w:sz w:val="17"/>
          <w:szCs w:val="17"/>
          <w:color w:val="auto"/>
        </w:rPr>
        <w:t>. Powers of attorney, proxies, waivers of notice of meeting, consents and other instruments relating to securities owned by the Corporation may be executed in the name of and on behalf of the Corporation by the Chief Executive Officer, the President, any Vice President or any other officer authorized to do so by the Board and any such officer may, in the name of and on behalf of the Corporation, take all such action as any such officer may deem advisable to vote in person or by proxy at any meeting of security holders of any company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spacing w:after="0" w:line="385"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The compensation of all executive officers of the Corporation will be fixed by the Board or by a committee of the Board. The Board may fix or delegate the power to fix, the compensation of other officers and agents of the Corporation to an officer of the Corporation.</w:t>
      </w:r>
    </w:p>
    <w:p>
      <w:pPr>
        <w:spacing w:after="0" w:line="163" w:lineRule="exact"/>
        <w:rPr>
          <w:rFonts w:ascii="Times New Roman" w:cs="Times New Roman" w:eastAsia="Times New Roman" w:hAnsi="Times New Roman"/>
          <w:sz w:val="17"/>
          <w:szCs w:val="17"/>
          <w:color w:val="auto"/>
        </w:rPr>
      </w:pPr>
    </w:p>
    <w:p>
      <w:pPr>
        <w:jc w:val="both"/>
        <w:ind w:firstLine="632"/>
        <w:spacing w:after="0" w:line="264" w:lineRule="auto"/>
        <w:tabs>
          <w:tab w:leader="none" w:pos="125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Succession</w:t>
      </w:r>
      <w:r>
        <w:rPr>
          <w:rFonts w:ascii="Times New Roman" w:cs="Times New Roman" w:eastAsia="Times New Roman" w:hAnsi="Times New Roman"/>
          <w:sz w:val="17"/>
          <w:szCs w:val="17"/>
          <w:color w:val="auto"/>
        </w:rPr>
        <w:t>. The officers of the Corporation will hold office until their successors are elected and qualified or until such officer’s earlier death, resignation or removal. Any officer may be removed at any time by the Board. Any vacancy occurring in any office of the Corporation may be filled by the Board or may, in the Board’s discretion, be left unfilled for such period as the Board may determine other than the offices of Chief Executive Officer, President, Treasurer and Secretary. Any officer of the Corporation may resign at any time by giving written notice of his or her resignation to the Chief Executive Officer, the President or the Secretary. Such resignation shall be effective upon receipt unless such notice provides that the resignation is effective at some later time or upon the occurrence of some later event.</w:t>
      </w:r>
    </w:p>
    <w:p>
      <w:pPr>
        <w:spacing w:after="0" w:line="171"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 and Duties</w:t>
      </w:r>
      <w:r>
        <w:rPr>
          <w:rFonts w:ascii="Times New Roman" w:cs="Times New Roman" w:eastAsia="Times New Roman" w:hAnsi="Times New Roman"/>
          <w:sz w:val="17"/>
          <w:szCs w:val="17"/>
          <w:color w:val="auto"/>
        </w:rPr>
        <w:t>. Each of the officers of the Corporation will have such authority and will perform such duties as are customarily incident to their respective offices or as may be specified from time to time by the Board.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STOCK</w:t>
      </w:r>
    </w:p>
    <w:p>
      <w:pPr>
        <w:spacing w:after="0" w:line="222" w:lineRule="exact"/>
        <w:rPr>
          <w:sz w:val="20"/>
          <w:szCs w:val="20"/>
          <w:color w:val="auto"/>
        </w:rPr>
      </w:pPr>
    </w:p>
    <w:p>
      <w:pPr>
        <w:jc w:val="both"/>
        <w:ind w:firstLine="632"/>
        <w:spacing w:after="0" w:line="261" w:lineRule="auto"/>
        <w:tabs>
          <w:tab w:leader="none" w:pos="125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The Board may provide by resolution or resolutions that some or all of any or all classes or series of the stock of the Corporation shall be uncertificated shares. Certificates, if any, representing shares of stock of the Corporation will be in such form as is determined by the Board, subject to applicable legal requirements. Each such certificate shall be numbered and shall be signed by, or in the name of the Corporation by, the Chairperson, if any, or the President or the Chief Executive Officer or the Chief Financial Officer, and by the Treasurer or an Assistant Treasurer or the Secretary or an Assistant Secretary. Any or all of the signatures on a certificate may be a facsimile or electronic signature. In case any officer, transfer agent or registrar who has signed or whose facsimile or electronic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9" w:lineRule="exact"/>
        <w:rPr>
          <w:rFonts w:ascii="Times New Roman" w:cs="Times New Roman" w:eastAsia="Times New Roman" w:hAnsi="Times New Roman"/>
          <w:sz w:val="17"/>
          <w:szCs w:val="17"/>
          <w:color w:val="auto"/>
        </w:rPr>
      </w:pPr>
    </w:p>
    <w:p>
      <w:pPr>
        <w:jc w:val="both"/>
        <w:ind w:firstLine="632"/>
        <w:spacing w:after="0" w:line="262" w:lineRule="auto"/>
        <w:tabs>
          <w:tab w:leader="none" w:pos="1253"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The Secretary may direct a new certificate or certificates or uncertificated shares to be issued in place of any certificate or certificates theretofore issued by the Corporation alleged to have been lost, stolen or destroyed, upon the making of an affidavit of that fact, satisfactory to the Secretary, by the person claiming the certificate of stock to be lost, stolen or destroyed. As a condition precedent to the issuance of a new certificate or certificates, the Secretary may require the owners of such lost, stolen or destroyed certificate or certificates to give the Corporation a bond in such sum and with such surety or sureties as the Secretary may direct as indemnity against any claims that may be made against the Corporation with respect to the certificate alleged to have been lost, stolen or destroyed or the issuance of the new certificate or uncertificated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588010</wp:posOffset>
            </wp:positionV>
            <wp:extent cx="629158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7" w:name="page138"/>
    <w:bookmarkEnd w:id="137"/>
    <w:p>
      <w:pPr>
        <w:jc w:val="both"/>
        <w:ind w:firstLine="632"/>
        <w:spacing w:after="0" w:line="264" w:lineRule="auto"/>
        <w:tabs>
          <w:tab w:leader="none" w:pos="1253"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Shares of stock of the Corporation shall be transferable in the manner prescribed by law and in these Bylaws. Transfers of shares shall be made (a) upon the books of the Corporation only by the holder of record thereof, or by a duly authorized agent, transferee or legal representative and (b) in the case of certificated shares, upon the surrender to the Corporation of the certificate or certificates for such shares properly endorsed or accompanied by a written assignment or power of attorney properly executed, and with such proof of authority or the authenticity of signature as the Corporation or is transfer agent may reasonably require. No transfer shall be made that is inconsistent with the provisions of applicable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GENERAL</w:t>
      </w:r>
    </w:p>
    <w:p>
      <w:pPr>
        <w:spacing w:after="0" w:line="222" w:lineRule="exact"/>
        <w:rPr>
          <w:sz w:val="20"/>
          <w:szCs w:val="20"/>
          <w:color w:val="auto"/>
        </w:rPr>
      </w:pPr>
    </w:p>
    <w:p>
      <w:pPr>
        <w:ind w:firstLine="632"/>
        <w:spacing w:after="0" w:line="295" w:lineRule="auto"/>
        <w:tabs>
          <w:tab w:leader="none" w:pos="12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will end on December 31 of each calendar year or such other date as may be fixed from time to time by the Board.</w:t>
      </w:r>
    </w:p>
    <w:p>
      <w:pPr>
        <w:spacing w:after="0" w:line="146" w:lineRule="exact"/>
        <w:rPr>
          <w:rFonts w:ascii="Times New Roman" w:cs="Times New Roman" w:eastAsia="Times New Roman" w:hAnsi="Times New Roman"/>
          <w:sz w:val="17"/>
          <w:szCs w:val="17"/>
          <w:color w:val="auto"/>
        </w:rPr>
      </w:pPr>
    </w:p>
    <w:p>
      <w:pPr>
        <w:jc w:val="both"/>
        <w:ind w:firstLine="632"/>
        <w:spacing w:after="0" w:line="265" w:lineRule="auto"/>
        <w:tabs>
          <w:tab w:leader="none" w:pos="12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upon Books, Reports and Records</w:t>
      </w:r>
      <w:r>
        <w:rPr>
          <w:rFonts w:ascii="Times New Roman" w:cs="Times New Roman" w:eastAsia="Times New Roman" w:hAnsi="Times New Roman"/>
          <w:sz w:val="17"/>
          <w:szCs w:val="17"/>
          <w:color w:val="auto"/>
        </w:rPr>
        <w:t>. Each director, each member of a committee designated by the Board, and each officer of the Corporation will, in the performance of his or her duties, be fully protected in relying in good faith upon the records of the Corporation and upon such information, opinions, reports, or statements presented to the Corporation by any of the Corporation’s officers or employees, or committees of the Board, or by any other person or entity as to matters the director, committee member, or officer believes are within such other person’s professional or expert competence and who has been selected with reasonable care by or on behalf of the Corporation.</w:t>
      </w:r>
    </w:p>
    <w:p>
      <w:pPr>
        <w:spacing w:after="0" w:line="382"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Notwithstanding any other provision of these Bylaws, any alteration, amendment or repeal of these Bylaws, or the adoption of new Bylaws, shall require the approval of the Board or the stockholders of the Corporation as provided by the Certificate of Incorporation (including any applicable Preferred Stock Designation) and applicable law.</w:t>
      </w:r>
    </w:p>
    <w:p>
      <w:pPr>
        <w:spacing w:after="0" w:line="163" w:lineRule="exact"/>
        <w:rPr>
          <w:rFonts w:ascii="Times New Roman" w:cs="Times New Roman" w:eastAsia="Times New Roman" w:hAnsi="Times New Roman"/>
          <w:sz w:val="17"/>
          <w:szCs w:val="17"/>
          <w:color w:val="auto"/>
        </w:rPr>
      </w:pPr>
    </w:p>
    <w:p>
      <w:pPr>
        <w:jc w:val="both"/>
        <w:ind w:firstLine="632"/>
        <w:spacing w:after="0" w:line="266" w:lineRule="auto"/>
        <w:tabs>
          <w:tab w:leader="none" w:pos="12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69"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Capitalized terms used herein and not otherwise defined have the meanings given to them in the Certificate of Incorporation. The use of the term “days” within these Bylaws, other than when referred to as “business days”, shall mean calendar days. The use of “business days” shall mean days other than Saturday, Sunday, and any day designated as a federal holiday as observed by the SEC. The use of “including” shall mean,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629158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38" w:name="page139"/>
    <w:bookmarkEnd w:id="138"/>
    <w:p>
      <w:pPr>
        <w:spacing w:after="0" w:line="37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52"/>
          <w:szCs w:val="52"/>
          <w:u w:val="single" w:color="auto"/>
          <w:color w:val="auto"/>
        </w:rPr>
        <w:t>Delaware</w:t>
      </w:r>
    </w:p>
    <w:p>
      <w:pPr>
        <w:spacing w:after="0" w:line="5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8"/>
          <w:szCs w:val="28"/>
          <w:color w:val="auto"/>
        </w:rPr>
        <w:t>The First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Exhibit 3.3</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Page 1</w:t>
      </w:r>
    </w:p>
    <w:p>
      <w:pPr>
        <w:spacing w:after="0" w:line="554" w:lineRule="exact"/>
        <w:rPr>
          <w:sz w:val="20"/>
          <w:szCs w:val="20"/>
          <w:color w:val="auto"/>
        </w:rPr>
      </w:pPr>
    </w:p>
    <w:p>
      <w:pPr>
        <w:sectPr>
          <w:pgSz w:w="11900" w:h="16838" w:orient="portrait"/>
          <w:cols w:equalWidth="0" w:num="2">
            <w:col w:w="8300" w:space="720"/>
            <w:col w:w="900"/>
          </w:cols>
          <w:pgMar w:left="980" w:top="32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firstLine="627"/>
        <w:spacing w:after="0" w:line="526" w:lineRule="auto"/>
        <w:rPr>
          <w:sz w:val="20"/>
          <w:szCs w:val="20"/>
          <w:color w:val="auto"/>
        </w:rPr>
      </w:pPr>
      <w:r>
        <w:rPr>
          <w:rFonts w:ascii="Times New Roman" w:cs="Times New Roman" w:eastAsia="Times New Roman" w:hAnsi="Times New Roman"/>
          <w:sz w:val="17"/>
          <w:szCs w:val="17"/>
          <w:b w:val="1"/>
          <w:bCs w:val="1"/>
          <w:i w:val="1"/>
          <w:iCs w:val="1"/>
          <w:color w:val="auto"/>
        </w:rPr>
        <w:t>I, CHARUNI PATIBANDA-SANCHEZ, SECRETARY OF STATE OF THE STATE OF DELAWARE, DO HEREBY CERTIFY THE ATTACHED IS A TRUE AND CORRECT COPY OF THE CERTIFICATE OF DESIGNATION OF “HCM II ACQUISITION CORP.”, FILED IN THIS OFFICE ON THE TWENTY-EIGHTH DAY OF OCTOBER, A.D. 2025, AT 12:26 O`CLOCK P.M.</w:t>
      </w:r>
    </w:p>
    <w:p>
      <w:pPr>
        <w:spacing w:after="0" w:line="59" w:lineRule="exact"/>
        <w:rPr>
          <w:sz w:val="20"/>
          <w:szCs w:val="20"/>
          <w:color w:val="auto"/>
        </w:rPr>
      </w:pPr>
    </w:p>
    <w:p>
      <w:pPr>
        <w:ind w:right="480" w:firstLine="627"/>
        <w:spacing w:after="0" w:line="556" w:lineRule="auto"/>
        <w:rPr>
          <w:sz w:val="20"/>
          <w:szCs w:val="20"/>
          <w:color w:val="auto"/>
        </w:rPr>
      </w:pPr>
      <w:r>
        <w:rPr>
          <w:rFonts w:ascii="Times New Roman" w:cs="Times New Roman" w:eastAsia="Times New Roman" w:hAnsi="Times New Roman"/>
          <w:sz w:val="17"/>
          <w:szCs w:val="17"/>
          <w:b w:val="1"/>
          <w:bCs w:val="1"/>
          <w:i w:val="1"/>
          <w:iCs w:val="1"/>
          <w:color w:val="auto"/>
        </w:rPr>
        <w:t>AND I DO HEREBY FURTHER CERTIFY THAT THE EFFECTIVE DATE OF THE AFORESAID CERTIFICATE OF DESIGNATION IS THE TWENTY-EIGHTH DAY OF OCTOBER, A.D. 2025 AT 1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1689100</wp:posOffset>
            </wp:positionH>
            <wp:positionV relativeFrom="paragraph">
              <wp:posOffset>2680335</wp:posOffset>
            </wp:positionV>
            <wp:extent cx="4467860" cy="12268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4467860"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10377140</w:t>
            </w:r>
          </w:p>
        </w:tc>
        <w:tc>
          <w:tcPr>
            <w:tcW w:w="5140" w:type="dxa"/>
            <w:vAlign w:val="bottom"/>
            <w:vMerge w:val="restart"/>
          </w:tcPr>
          <w:p>
            <w:pPr>
              <w:jc w:val="right"/>
              <w:ind w:right="4584"/>
              <w:spacing w:after="0"/>
              <w:rPr>
                <w:sz w:val="20"/>
                <w:szCs w:val="20"/>
                <w:color w:val="auto"/>
              </w:rPr>
            </w:pPr>
            <w:r>
              <w:rPr>
                <w:rFonts w:ascii="Times New Roman" w:cs="Times New Roman" w:eastAsia="Times New Roman" w:hAnsi="Times New Roman"/>
                <w:sz w:val="19"/>
                <w:szCs w:val="19"/>
                <w:color w:val="auto"/>
              </w:rPr>
              <w:t>8100</w:t>
            </w:r>
          </w:p>
        </w:tc>
        <w:tc>
          <w:tcPr>
            <w:tcW w:w="394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w w:val="97"/>
              </w:rPr>
              <w:t>Charuni Patibanda-Sanchez, Secretary of State</w:t>
            </w: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514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SR# 20254391708</w:t>
            </w:r>
          </w:p>
        </w:tc>
        <w:tc>
          <w:tcPr>
            <w:tcW w:w="3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Authentication: 205156145</w:t>
            </w:r>
          </w:p>
        </w:tc>
        <w:tc>
          <w:tcPr>
            <w:tcW w:w="0" w:type="dxa"/>
            <w:vAlign w:val="bottom"/>
          </w:tcPr>
          <w:p>
            <w:pPr>
              <w:spacing w:after="0"/>
              <w:rPr>
                <w:sz w:val="1"/>
                <w:szCs w:val="1"/>
                <w:color w:val="auto"/>
              </w:rPr>
            </w:pPr>
          </w:p>
        </w:tc>
      </w:tr>
      <w:tr>
        <w:trPr>
          <w:trHeight w:val="251"/>
        </w:trPr>
        <w:tc>
          <w:tcPr>
            <w:tcW w:w="5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You may verify this certificate online at corp.delaware.gov/authver.shtml</w:t>
            </w:r>
          </w:p>
        </w:tc>
        <w:tc>
          <w:tcPr>
            <w:tcW w:w="3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Date: 10-28-25</w:t>
            </w:r>
          </w:p>
        </w:tc>
        <w:tc>
          <w:tcPr>
            <w:tcW w:w="0" w:type="dxa"/>
            <w:vAlign w:val="bottom"/>
          </w:tcPr>
          <w:p>
            <w:pPr>
              <w:spacing w:after="0"/>
              <w:rPr>
                <w:sz w:val="1"/>
                <w:szCs w:val="1"/>
                <w:color w:val="auto"/>
              </w:rPr>
            </w:pPr>
          </w:p>
        </w:tc>
      </w:tr>
      <w:tr>
        <w:trPr>
          <w:trHeight w:val="1175"/>
        </w:trPr>
        <w:tc>
          <w:tcPr>
            <w:tcW w:w="8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3" w:right="999" w:bottom="1440" w:gutter="0" w:footer="0" w:header="0"/>
          <w:type w:val="continuous"/>
        </w:sectPr>
      </w:pPr>
    </w:p>
    <w:bookmarkStart w:id="139" w:name="page140"/>
    <w:bookmarkEnd w:id="139"/>
    <w:p>
      <w:pPr>
        <w:ind w:left="680"/>
        <w:spacing w:after="0"/>
        <w:rPr>
          <w:sz w:val="20"/>
          <w:szCs w:val="20"/>
          <w:color w:val="auto"/>
        </w:rPr>
      </w:pPr>
      <w:r>
        <w:rPr>
          <w:rFonts w:ascii="Times New Roman" w:cs="Times New Roman" w:eastAsia="Times New Roman" w:hAnsi="Times New Roman"/>
          <w:sz w:val="17"/>
          <w:szCs w:val="17"/>
          <w:b w:val="1"/>
          <w:bCs w:val="1"/>
          <w:color w:val="auto"/>
        </w:rPr>
        <w:t>State of Delaware</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Secretary of State</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Division of Corporations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Delivered 12:26 PM 10/28/2025</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FILED 12:26 PM 10/28/2025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SR 20254391708 - File Number 10377140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DESIGNATION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jc w:val="center"/>
        <w:spacing w:after="0" w:line="233" w:lineRule="auto"/>
        <w:rPr>
          <w:sz w:val="20"/>
          <w:szCs w:val="20"/>
          <w:color w:val="auto"/>
        </w:rPr>
      </w:pPr>
      <w:r>
        <w:rPr>
          <w:rFonts w:ascii="Times New Roman" w:cs="Times New Roman" w:eastAsia="Times New Roman" w:hAnsi="Times New Roman"/>
          <w:sz w:val="21"/>
          <w:szCs w:val="21"/>
          <w:b w:val="1"/>
          <w:bCs w:val="1"/>
          <w:color w:val="auto"/>
        </w:rPr>
        <w:t>SPECIAL VOTING PREFERRED STOCK</w:t>
      </w:r>
    </w:p>
    <w:p>
      <w:pPr>
        <w:jc w:val="center"/>
        <w:spacing w:after="0" w:line="234" w:lineRule="auto"/>
        <w:rPr>
          <w:sz w:val="20"/>
          <w:szCs w:val="20"/>
          <w:color w:val="auto"/>
        </w:rPr>
      </w:pPr>
      <w:r>
        <w:rPr>
          <w:rFonts w:ascii="Times New Roman" w:cs="Times New Roman" w:eastAsia="Times New Roman" w:hAnsi="Times New Roman"/>
          <w:sz w:val="21"/>
          <w:szCs w:val="21"/>
          <w:b w:val="1"/>
          <w:bCs w:val="1"/>
          <w:color w:val="auto"/>
        </w:rPr>
        <w:t>OF</w:t>
      </w:r>
    </w:p>
    <w:p>
      <w:pPr>
        <w:jc w:val="center"/>
        <w:spacing w:after="0"/>
        <w:rPr>
          <w:sz w:val="20"/>
          <w:szCs w:val="20"/>
          <w:color w:val="auto"/>
        </w:rPr>
      </w:pPr>
      <w:r>
        <w:rPr>
          <w:rFonts w:ascii="Times New Roman" w:cs="Times New Roman" w:eastAsia="Times New Roman" w:hAnsi="Times New Roman"/>
          <w:sz w:val="21"/>
          <w:szCs w:val="21"/>
          <w:b w:val="1"/>
          <w:bCs w:val="1"/>
          <w:color w:val="auto"/>
        </w:rPr>
        <w:t>HCM II ACQUISITION CORP.</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151 of the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Corporation Law of the State of Delaware)</w:t>
      </w:r>
    </w:p>
    <w:p>
      <w:pPr>
        <w:spacing w:after="0" w:line="178" w:lineRule="exact"/>
        <w:rPr>
          <w:sz w:val="20"/>
          <w:szCs w:val="20"/>
          <w:color w:val="auto"/>
        </w:rPr>
      </w:pPr>
    </w:p>
    <w:p>
      <w:pPr>
        <w:jc w:val="both"/>
        <w:ind w:firstLine="627"/>
        <w:spacing w:after="0" w:line="275" w:lineRule="auto"/>
        <w:rPr>
          <w:sz w:val="20"/>
          <w:szCs w:val="20"/>
          <w:color w:val="auto"/>
        </w:rPr>
      </w:pPr>
      <w:r>
        <w:rPr>
          <w:rFonts w:ascii="Times New Roman" w:cs="Times New Roman" w:eastAsia="Times New Roman" w:hAnsi="Times New Roman"/>
          <w:sz w:val="17"/>
          <w:szCs w:val="17"/>
          <w:color w:val="auto"/>
        </w:rPr>
        <w:t>FICM II Acquisition Corp., a corporation organized and existing under the General Corporation Law ofthe State ofDelaware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hereby certifies that the following resolution was adopted by the Board ofDirectors ofthe Corporation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pursuant to the authority of the Board as required by Section 151 of the General Corporation Law of the State of Delaware:</w:t>
      </w:r>
    </w:p>
    <w:p>
      <w:pPr>
        <w:spacing w:after="0" w:line="122" w:lineRule="exact"/>
        <w:rPr>
          <w:sz w:val="20"/>
          <w:szCs w:val="20"/>
          <w:color w:val="auto"/>
        </w:rPr>
      </w:pPr>
    </w:p>
    <w:p>
      <w:pPr>
        <w:jc w:val="both"/>
        <w:ind w:firstLine="627"/>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RESOLVED, </w:t>
      </w:r>
      <w:r>
        <w:rPr>
          <w:rFonts w:ascii="Times New Roman" w:cs="Times New Roman" w:eastAsia="Times New Roman" w:hAnsi="Times New Roman"/>
          <w:sz w:val="17"/>
          <w:szCs w:val="17"/>
          <w:color w:val="auto"/>
        </w:rPr>
        <w:t>that pursuant to the provisions of the Certificate of Incorporation of the Corporation (as such may be amended,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modified or restated from time to time, the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(which authorizes 1,000,000 shares of Preferred Stock, par value $0.0001 per share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the authority vested in the Board, a series of Preferred Stock be, and it hereby is, created, and that the designation and number of shares of such series, and the voting and other powers, preferences and relative, participating, optional or other rights, and the qualifications, limitations and restrictions thereof are as set forth in the Certificate and this Certificate of Designation, as it may be amended from time to time (the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as follows: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VOTING PREFERRED STOCK</w:t>
      </w:r>
    </w:p>
    <w:p>
      <w:pPr>
        <w:spacing w:after="0" w:line="198" w:lineRule="exact"/>
        <w:rPr>
          <w:sz w:val="20"/>
          <w:szCs w:val="20"/>
          <w:color w:val="auto"/>
        </w:rPr>
      </w:pPr>
    </w:p>
    <w:p>
      <w:pPr>
        <w:jc w:val="both"/>
        <w:ind w:firstLine="625"/>
        <w:spacing w:after="0" w:line="287"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Designation, Amount and Par Value</w:t>
      </w:r>
      <w:r>
        <w:rPr>
          <w:rFonts w:ascii="Times New Roman" w:cs="Times New Roman" w:eastAsia="Times New Roman" w:hAnsi="Times New Roman"/>
          <w:sz w:val="17"/>
          <w:szCs w:val="17"/>
          <w:color w:val="auto"/>
        </w:rPr>
        <w:t>. The series of Preferred Stock shall be designated as “</w:t>
      </w:r>
      <w:r>
        <w:rPr>
          <w:rFonts w:ascii="Times New Roman" w:cs="Times New Roman" w:eastAsia="Times New Roman" w:hAnsi="Times New Roman"/>
          <w:sz w:val="17"/>
          <w:szCs w:val="17"/>
          <w:u w:val="single" w:color="auto"/>
          <w:color w:val="auto"/>
        </w:rPr>
        <w:t>Special Voting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The Special Voting Preferred Stock will have par value of $0.0001 per share, and the number of shares constituting such series will be 50.</w:t>
      </w:r>
    </w:p>
    <w:p>
      <w:pPr>
        <w:spacing w:after="0" w:line="329" w:lineRule="exact"/>
        <w:rPr>
          <w:sz w:val="20"/>
          <w:szCs w:val="20"/>
          <w:color w:val="auto"/>
        </w:rPr>
      </w:pPr>
    </w:p>
    <w:p>
      <w:pPr>
        <w:jc w:val="both"/>
        <w:ind w:firstLine="625"/>
        <w:spacing w:after="0" w:line="295"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The holders of record of shares of Special Voting Preferred Stock shall not be entitled to receive any dividends declared and paid by the Corporation.</w:t>
      </w:r>
    </w:p>
    <w:p>
      <w:pPr>
        <w:spacing w:after="0" w:line="107"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6"/>
          <w:szCs w:val="16"/>
          <w:color w:val="auto"/>
        </w:rPr>
        <w:t>Voting Rights.</w:t>
      </w:r>
    </w:p>
    <w:p>
      <w:pPr>
        <w:spacing w:after="0" w:line="196" w:lineRule="exact"/>
        <w:rPr>
          <w:sz w:val="20"/>
          <w:szCs w:val="20"/>
          <w:color w:val="auto"/>
        </w:rPr>
      </w:pPr>
    </w:p>
    <w:p>
      <w:pPr>
        <w:jc w:val="both"/>
        <w:ind w:left="640" w:firstLine="618"/>
        <w:spacing w:after="0" w:line="258" w:lineRule="auto"/>
        <w:tabs>
          <w:tab w:leader="none" w:pos="189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meetings of the stockholders of the Corporation at which the holders of the Corporation's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are entitled to vote and, if applicable, with respect to any written consents sought by the Corporation from the holders of such Common Stock, each holder of a share of Special Voting Preferred Stock who also holds share(s) of Class B Exchangeable Shares and/or Class C Exchangeable Shares of Terrestrial Energy Canada (Exchange) Inc., a corporation existing under the laws of the Province of Ontario (“</w:t>
      </w:r>
      <w:r>
        <w:rPr>
          <w:rFonts w:ascii="Times New Roman" w:cs="Times New Roman" w:eastAsia="Times New Roman" w:hAnsi="Times New Roman"/>
          <w:sz w:val="17"/>
          <w:szCs w:val="17"/>
          <w:u w:val="single" w:color="auto"/>
          <w:color w:val="auto"/>
        </w:rPr>
        <w:t>ExchangeCo</w:t>
      </w:r>
      <w:r>
        <w:rPr>
          <w:rFonts w:ascii="Times New Roman" w:cs="Times New Roman" w:eastAsia="Times New Roman" w:hAnsi="Times New Roman"/>
          <w:sz w:val="17"/>
          <w:szCs w:val="17"/>
          <w:color w:val="auto"/>
        </w:rPr>
        <w:t>”), shall, with respect to such share of Special Voting Preferred Stock, (i) be entitled to cast on such matter(s) such number of votes equal to the aggregate number of shares of Common Stock that the Class B Exchangeable shares (the “</w:t>
      </w:r>
      <w:r>
        <w:rPr>
          <w:rFonts w:ascii="Times New Roman" w:cs="Times New Roman" w:eastAsia="Times New Roman" w:hAnsi="Times New Roman"/>
          <w:sz w:val="17"/>
          <w:szCs w:val="17"/>
          <w:u w:val="single" w:color="auto"/>
          <w:color w:val="auto"/>
        </w:rPr>
        <w:t>Class B Exchangeable Shares</w:t>
      </w:r>
      <w:r>
        <w:rPr>
          <w:rFonts w:ascii="Times New Roman" w:cs="Times New Roman" w:eastAsia="Times New Roman" w:hAnsi="Times New Roman"/>
          <w:sz w:val="17"/>
          <w:szCs w:val="17"/>
          <w:color w:val="auto"/>
        </w:rPr>
        <w:t>”) and/or Class C Exchangeable shares (the “</w:t>
      </w:r>
      <w:r>
        <w:rPr>
          <w:rFonts w:ascii="Times New Roman" w:cs="Times New Roman" w:eastAsia="Times New Roman" w:hAnsi="Times New Roman"/>
          <w:sz w:val="17"/>
          <w:szCs w:val="17"/>
          <w:u w:val="single" w:color="auto"/>
          <w:color w:val="auto"/>
        </w:rPr>
        <w:t>Class C Exchangeable Shares</w:t>
      </w:r>
      <w:r>
        <w:rPr>
          <w:rFonts w:ascii="Times New Roman" w:cs="Times New Roman" w:eastAsia="Times New Roman" w:hAnsi="Times New Roman"/>
          <w:sz w:val="17"/>
          <w:szCs w:val="17"/>
          <w:color w:val="auto"/>
        </w:rPr>
        <w:t xml:space="preserve">”) in the </w:t>
      </w:r>
      <w:r>
        <w:rPr>
          <w:rFonts w:ascii="Times New Roman" w:cs="Times New Roman" w:eastAsia="Times New Roman" w:hAnsi="Times New Roman"/>
          <w:sz w:val="19"/>
          <w:szCs w:val="19"/>
          <w:color w:val="auto"/>
        </w:rPr>
        <w:t>capital of</w:t>
      </w:r>
      <w:r>
        <w:rPr>
          <w:rFonts w:ascii="Times New Roman" w:cs="Times New Roman" w:eastAsia="Times New Roman" w:hAnsi="Times New Roman"/>
          <w:sz w:val="17"/>
          <w:szCs w:val="17"/>
          <w:color w:val="auto"/>
        </w:rPr>
        <w:t xml:space="preserve"> ExchangeCo held by such holder are exchangeable for in accordance with the articles of incorporation of ExchangeCo, as amended by the articles of amendment of ExchangeCo dated October 24, 2025 (and as may be further amended from time to time, the “</w:t>
      </w:r>
      <w:r>
        <w:rPr>
          <w:rFonts w:ascii="Times New Roman" w:cs="Times New Roman" w:eastAsia="Times New Roman" w:hAnsi="Times New Roman"/>
          <w:sz w:val="17"/>
          <w:szCs w:val="17"/>
          <w:u w:val="single" w:color="auto"/>
          <w:color w:val="auto"/>
        </w:rPr>
        <w:t>Articles</w:t>
      </w:r>
      <w:r>
        <w:rPr>
          <w:rFonts w:ascii="Times New Roman" w:cs="Times New Roman" w:eastAsia="Times New Roman" w:hAnsi="Times New Roman"/>
          <w:sz w:val="17"/>
          <w:szCs w:val="17"/>
          <w:color w:val="auto"/>
        </w:rPr>
        <w:t>”) as of the record date for determining stockholders entitled to vote, and (ii) have the same voting rights with respect to such number of votes specified under Section 3(a)(i) as the holders of Common Stock pursuant to the Certificate and the Bylaws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798195</wp:posOffset>
            </wp:positionV>
            <wp:extent cx="629158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40" w:name="page141"/>
    <w:bookmarkEnd w:id="140"/>
    <w:p>
      <w:pPr>
        <w:jc w:val="both"/>
        <w:ind w:left="640" w:firstLine="618"/>
        <w:spacing w:after="0" w:line="275" w:lineRule="auto"/>
        <w:tabs>
          <w:tab w:leader="none" w:pos="189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record of shares of Special Voting Preferred Stock, except as otherwise required under applicable law or as set forth in this Section 3, shall not be entitled to vote on any matter required or permitted to be voted upon by the stockholders of the Corporation.</w:t>
      </w:r>
    </w:p>
    <w:p>
      <w:pPr>
        <w:spacing w:after="0" w:line="124" w:lineRule="exact"/>
        <w:rPr>
          <w:rFonts w:ascii="Times New Roman" w:cs="Times New Roman" w:eastAsia="Times New Roman" w:hAnsi="Times New Roman"/>
          <w:sz w:val="17"/>
          <w:szCs w:val="17"/>
          <w:color w:val="auto"/>
        </w:rPr>
      </w:pPr>
    </w:p>
    <w:p>
      <w:pPr>
        <w:jc w:val="both"/>
        <w:ind w:left="640" w:firstLine="618"/>
        <w:spacing w:after="0" w:line="269" w:lineRule="auto"/>
        <w:tabs>
          <w:tab w:leader="none" w:pos="189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approval required by the DGCL, other applicable law, the Certificate, or this Certificate of Designation, for so long as any of the shares of Special Voting Preferred Stock shall remain outstanding, this Certificate of Designation shall not be amended without the affirmative vote of holders of at least a majority of the outstanding voting power of the Special Voting Preferred Stock, calculated in accordance with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3(a)</w:t>
      </w:r>
    </w:p>
    <w:p>
      <w:pPr>
        <w:spacing w:after="0" w:line="142" w:lineRule="exact"/>
        <w:rPr>
          <w:sz w:val="20"/>
          <w:szCs w:val="20"/>
          <w:color w:val="auto"/>
        </w:rPr>
      </w:pPr>
    </w:p>
    <w:p>
      <w:pPr>
        <w:jc w:val="both"/>
        <w:ind w:firstLine="627"/>
        <w:spacing w:after="0" w:line="258" w:lineRule="auto"/>
        <w:rPr>
          <w:sz w:val="20"/>
          <w:szCs w:val="20"/>
          <w:color w:val="auto"/>
        </w:rPr>
      </w:pPr>
      <w:r>
        <w:rPr>
          <w:rFonts w:ascii="Times New Roman" w:cs="Times New Roman" w:eastAsia="Times New Roman" w:hAnsi="Times New Roman"/>
          <w:sz w:val="17"/>
          <w:szCs w:val="17"/>
          <w:color w:val="auto"/>
        </w:rPr>
        <w:t>Section 4. Liquidation. Upon any liquidation, dissolution or winding up of the Corporation, whether voluntary or involuntary, the holders of record of shares of Special Voting Preferred Stock shall (a) rank (i) senior to the Common Stock of the Corporation and (ii) junior to all other series of Preferred Stock of the Corporation, if any, and (b) be entitled to receive, prior to the holders of shares of Common Stock, an amount equal to the par value per share.</w:t>
      </w:r>
    </w:p>
    <w:p>
      <w:pPr>
        <w:spacing w:after="0" w:line="138" w:lineRule="exact"/>
        <w:rPr>
          <w:sz w:val="20"/>
          <w:szCs w:val="20"/>
          <w:color w:val="auto"/>
        </w:rPr>
      </w:pPr>
    </w:p>
    <w:p>
      <w:pPr>
        <w:ind w:left="64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color w:val="auto"/>
        </w:rPr>
        <w:t>Other Provisions.</w:t>
      </w:r>
    </w:p>
    <w:p>
      <w:pPr>
        <w:spacing w:after="0" w:line="196" w:lineRule="exact"/>
        <w:rPr>
          <w:sz w:val="20"/>
          <w:szCs w:val="20"/>
          <w:color w:val="auto"/>
        </w:rPr>
      </w:pPr>
    </w:p>
    <w:p>
      <w:pPr>
        <w:ind w:left="640" w:firstLine="618"/>
        <w:spacing w:after="0" w:line="279" w:lineRule="auto"/>
        <w:tabs>
          <w:tab w:leader="none" w:pos="1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record of shares of Special Voting Preferred Stock shall not have any rights hereunder to convert such share into, or exchange such share for, shares of any other series or class of capital stock of the Corporation.</w:t>
      </w:r>
    </w:p>
    <w:p>
      <w:pPr>
        <w:spacing w:after="0" w:line="119" w:lineRule="exact"/>
        <w:rPr>
          <w:rFonts w:ascii="Times New Roman" w:cs="Times New Roman" w:eastAsia="Times New Roman" w:hAnsi="Times New Roman"/>
          <w:sz w:val="17"/>
          <w:szCs w:val="17"/>
          <w:color w:val="auto"/>
        </w:rPr>
      </w:pPr>
    </w:p>
    <w:p>
      <w:pPr>
        <w:jc w:val="both"/>
        <w:ind w:left="640" w:firstLine="618"/>
        <w:spacing w:after="0" w:line="260" w:lineRule="auto"/>
        <w:tabs>
          <w:tab w:leader="none" w:pos="19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reclassification, exchange, merger, consolidation or other similar reorganization of ExchangeCo, pursuant to which the Class B Exchangeable Shares and/or Class C Exchangeable Shares are changed or converted into, or exchanged for, other securities, the references in this Certificate of Designation to Class B Exchangeable Shares and/or Class C Exchangeable Shares, as applicable, shall be deemed to be amended, without any further action required by the Board or the holders of Special Voting Preferred Stock or any other capital stock of the Corporation, to reference the applicable securities into which such Class B Exchangeable Shares and/or Class C Exchangeable Shares were so changed or converted into, or exchanged for.</w:t>
      </w:r>
    </w:p>
    <w:p>
      <w:pPr>
        <w:spacing w:after="0" w:line="139" w:lineRule="exact"/>
        <w:rPr>
          <w:rFonts w:ascii="Times New Roman" w:cs="Times New Roman" w:eastAsia="Times New Roman" w:hAnsi="Times New Roman"/>
          <w:sz w:val="17"/>
          <w:szCs w:val="17"/>
          <w:color w:val="auto"/>
        </w:rPr>
      </w:pPr>
    </w:p>
    <w:p>
      <w:pPr>
        <w:jc w:val="both"/>
        <w:ind w:left="640" w:firstLine="618"/>
        <w:spacing w:after="0" w:line="275" w:lineRule="auto"/>
        <w:tabs>
          <w:tab w:leader="none" w:pos="189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such time as the share of Special Voting Preferred Stock held by the holder thereof has no votes attached to it because the holder no longer holds any Class B Exchangeable Shares and/or Series C Preferred Exchangeable Shares of ExchangeCo, as applicable, such share of Special Voting Preferred Stock shall be automatically cancelled for no consideration.</w:t>
      </w:r>
    </w:p>
    <w:p>
      <w:pPr>
        <w:spacing w:after="0" w:line="124" w:lineRule="exact"/>
        <w:rPr>
          <w:rFonts w:ascii="Times New Roman" w:cs="Times New Roman" w:eastAsia="Times New Roman" w:hAnsi="Times New Roman"/>
          <w:sz w:val="17"/>
          <w:szCs w:val="17"/>
          <w:color w:val="auto"/>
        </w:rPr>
      </w:pPr>
    </w:p>
    <w:p>
      <w:pPr>
        <w:jc w:val="both"/>
        <w:ind w:left="640" w:firstLine="618"/>
        <w:spacing w:after="0" w:line="275" w:lineRule="auto"/>
        <w:tabs>
          <w:tab w:leader="none" w:pos="189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 of Special Voting Preferred Stock may be sold, exchanged or otherwise transferred without the prior written consent of the Corporation, and any purported transfer of Special Voting Preferred Stock in violation of the foregoing shall, to the fullest extent permitted by applicable law, be null and void ab initio.</w:t>
      </w:r>
    </w:p>
    <w:p>
      <w:pPr>
        <w:spacing w:after="0" w:line="124" w:lineRule="exact"/>
        <w:rPr>
          <w:rFonts w:ascii="Times New Roman" w:cs="Times New Roman" w:eastAsia="Times New Roman" w:hAnsi="Times New Roman"/>
          <w:sz w:val="17"/>
          <w:szCs w:val="17"/>
          <w:color w:val="auto"/>
        </w:rPr>
      </w:pPr>
    </w:p>
    <w:p>
      <w:pPr>
        <w:ind w:left="1880" w:hanging="622"/>
        <w:spacing w:after="0"/>
        <w:tabs>
          <w:tab w:leader="none" w:pos="18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Designation shall be effective at 1:00 p.m. Eastern Time on October 28, 2025.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875030</wp:posOffset>
            </wp:positionV>
            <wp:extent cx="6291580"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41" w:name="page142"/>
    <w:bookmarkEnd w:id="141"/>
    <w:p>
      <w:pPr>
        <w:ind w:firstLine="627"/>
        <w:spacing w:after="0" w:line="290" w:lineRule="auto"/>
        <w:rPr>
          <w:sz w:val="20"/>
          <w:szCs w:val="20"/>
          <w:color w:val="auto"/>
        </w:rPr>
      </w:pPr>
      <w:r>
        <w:rPr>
          <w:rFonts w:ascii="Times New Roman" w:cs="Times New Roman" w:eastAsia="Times New Roman" w:hAnsi="Times New Roman"/>
          <w:sz w:val="17"/>
          <w:szCs w:val="17"/>
          <w:color w:val="auto"/>
        </w:rPr>
        <w:t>IN WITNESS WHEREOF, the Corporation has caused this Certificate of Designation to be signed by its Chief Executive Officer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of October, 2025.</w:t>
      </w:r>
    </w:p>
    <w:p>
      <w:pPr>
        <w:spacing w:after="0" w:line="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HCM II ACQUISITION CORP.</w:t>
      </w:r>
    </w:p>
    <w:p>
      <w:pPr>
        <w:spacing w:after="0" w:line="200" w:lineRule="exact"/>
        <w:rPr>
          <w:sz w:val="20"/>
          <w:szCs w:val="20"/>
          <w:color w:val="auto"/>
        </w:rPr>
      </w:pPr>
    </w:p>
    <w:p>
      <w:pPr>
        <w:spacing w:after="0" w:line="23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7"/>
          <w:szCs w:val="17"/>
          <w:color w:val="auto"/>
        </w:rPr>
        <w:t>By:</w:t>
        <w:tab/>
        <w:t>/s/ Shawn Matthews</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Shawn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-123190</wp:posOffset>
            </wp:positionV>
            <wp:extent cx="28263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2826385" cy="8255"/>
                    </a:xfrm>
                    <a:prstGeom prst="rect">
                      <a:avLst/>
                    </a:prstGeom>
                    <a:noFill/>
                  </pic:spPr>
                </pic:pic>
              </a:graphicData>
            </a:graphic>
          </wp:anchor>
        </w:drawing>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852"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93" w:lineRule="exact"/>
        <w:rPr>
          <w:sz w:val="20"/>
          <w:szCs w:val="20"/>
          <w:color w:val="auto"/>
        </w:rPr>
      </w:pPr>
    </w:p>
    <w:p>
      <w:pPr>
        <w:jc w:val="both"/>
        <w:ind w:left="20" w:hanging="8"/>
        <w:spacing w:after="0" w:line="250" w:lineRule="auto"/>
        <w:rPr>
          <w:sz w:val="20"/>
          <w:szCs w:val="20"/>
          <w:color w:val="auto"/>
        </w:rPr>
      </w:pPr>
      <w:r>
        <w:rPr>
          <w:rFonts w:ascii="Times New Roman" w:cs="Times New Roman" w:eastAsia="Times New Roman" w:hAnsi="Times New Roman"/>
          <w:sz w:val="18"/>
          <w:szCs w:val="18"/>
          <w:b w:val="1"/>
          <w:bCs w:val="1"/>
          <w:color w:val="auto"/>
        </w:rPr>
        <w:t>THE SECURITIES REPRESENTED BY THIS CERTIFICATE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68"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b w:val="1"/>
          <w:bCs w:val="1"/>
          <w:color w:val="auto"/>
        </w:rPr>
        <w:t>THE SECURITIES REPRESENTED HEREBY ARE SUBJECT TO RESTRICTIONS ON TRANSFER SET FORTH IN THE LOCK-UP AGREEMENT, BY AND AMONG THE ISSUER OF SUCH SECURITIES AND THE REGISTERED HOLDER OF THE SHARES. A COPY OF SUCH AGREEMENT WILL BE FURNISHED WITHOUT CHARGE BY THE ISSUER TO THE HOLDER HEREOF UPON WRITTEN REQUEST.</w:t>
      </w:r>
    </w:p>
    <w:p>
      <w:pPr>
        <w:spacing w:after="0" w:line="152"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b w:val="1"/>
          <w:bCs w:val="1"/>
          <w:color w:val="auto"/>
        </w:rPr>
        <w:t>FOR CANADIAN HOLDERS: UNLESS PERMITTED UNDER SECURITIES LEGISLATION, THE HOLDER OF THIS SECURITY MUST NOT TRADE THE SECURITY BEFORE THE DATE THAT IS FOUR MONTHS AND A DAY AFTER THE LATER OF (I) [ORIGINAL ISSUE DATE]; AND (II) THE DATE THE ISSUER BECOMES A REPORTING ISSUER IN ANY PROVINCE OR TERRITORY OF CANADA.</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Warrants exercisable for</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Warrant Certificate #[CERT #]</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Up to [NUMBER OF SHARES] Shares of Common Stock (the</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 Date: [ORIGINAL ISSUE DATE]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tc>
        <w:tc>
          <w:tcPr>
            <w:tcW w:w="4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Expiry Date: July 31, 2028 (the “</w:t>
            </w:r>
            <w:r>
              <w:rPr>
                <w:rFonts w:ascii="Times New Roman" w:cs="Times New Roman" w:eastAsia="Times New Roman" w:hAnsi="Times New Roman"/>
                <w:sz w:val="18"/>
                <w:szCs w:val="18"/>
                <w:b w:val="1"/>
                <w:bCs w:val="1"/>
                <w:color w:val="auto"/>
              </w:rPr>
              <w:t>Expiry Date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06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WARRANT CERTIFICATE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TERRESTRIAL ENERGY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(f/k/a HCM II Acquisition Corp.)</w:t>
      </w:r>
    </w:p>
    <w:p>
      <w:pPr>
        <w:spacing w:after="0" w:line="187" w:lineRule="exact"/>
        <w:rPr>
          <w:sz w:val="20"/>
          <w:szCs w:val="20"/>
          <w:color w:val="auto"/>
        </w:rPr>
      </w:pPr>
    </w:p>
    <w:p>
      <w:pPr>
        <w:jc w:val="both"/>
        <w:ind w:left="20" w:hanging="8"/>
        <w:spacing w:after="0" w:line="281" w:lineRule="auto"/>
        <w:rPr>
          <w:sz w:val="20"/>
          <w:szCs w:val="20"/>
          <w:color w:val="auto"/>
        </w:rPr>
      </w:pPr>
      <w:r>
        <w:rPr>
          <w:rFonts w:ascii="Times New Roman" w:cs="Times New Roman" w:eastAsia="Times New Roman" w:hAnsi="Times New Roman"/>
          <w:sz w:val="18"/>
          <w:szCs w:val="18"/>
          <w:color w:val="auto"/>
        </w:rPr>
        <w:t>WHEREAS, [NAME OF HOLDER]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the holder of certain warrants previously issued by Terrestrial Energy Development Inc. (f/k/a Terrestrial Energy Inc.) (“</w:t>
      </w:r>
      <w:r>
        <w:rPr>
          <w:rFonts w:ascii="Times New Roman" w:cs="Times New Roman" w:eastAsia="Times New Roman" w:hAnsi="Times New Roman"/>
          <w:sz w:val="18"/>
          <w:szCs w:val="18"/>
          <w:b w:val="1"/>
          <w:bCs w:val="1"/>
          <w:color w:val="auto"/>
        </w:rPr>
        <w:t>Legacy Terrestrial Energy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Original Warrant Certificate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left="20" w:hanging="8"/>
        <w:spacing w:after="0" w:line="249" w:lineRule="auto"/>
        <w:rPr>
          <w:sz w:val="20"/>
          <w:szCs w:val="20"/>
          <w:color w:val="auto"/>
        </w:rPr>
      </w:pPr>
      <w:r>
        <w:rPr>
          <w:rFonts w:ascii="Times New Roman" w:cs="Times New Roman" w:eastAsia="Times New Roman" w:hAnsi="Times New Roman"/>
          <w:sz w:val="18"/>
          <w:szCs w:val="18"/>
          <w:color w:val="auto"/>
        </w:rPr>
        <w:t>WHEREAS, the Company entered into a Business Combination Agreement, dated March 26, 2025, as amended by that certain First Amendment to Business Combination Agreement dated October 26, 2025 (as the same may be further amended, modified or supplemented,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the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by and among the Company, Legacy Terrestrial Energy and HCM II Merger Sub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pursuant to which, among other things, Merger Sub merged with and into Legacy Terrestrial Energy, with Legacy Terrestrial Energy surviving as a wholly owned subsidiary of the Company;</w:t>
      </w:r>
    </w:p>
    <w:p>
      <w:pPr>
        <w:spacing w:after="0" w:line="160" w:lineRule="exact"/>
        <w:rPr>
          <w:sz w:val="20"/>
          <w:szCs w:val="20"/>
          <w:color w:val="auto"/>
        </w:rPr>
      </w:pPr>
    </w:p>
    <w:p>
      <w:pPr>
        <w:jc w:val="both"/>
        <w:ind w:left="20" w:hanging="8"/>
        <w:spacing w:after="0" w:line="259" w:lineRule="auto"/>
        <w:rPr>
          <w:sz w:val="20"/>
          <w:szCs w:val="20"/>
          <w:color w:val="auto"/>
        </w:rPr>
      </w:pPr>
      <w:r>
        <w:rPr>
          <w:rFonts w:ascii="Times New Roman" w:cs="Times New Roman" w:eastAsia="Times New Roman" w:hAnsi="Times New Roman"/>
          <w:sz w:val="18"/>
          <w:szCs w:val="18"/>
          <w:color w:val="auto"/>
        </w:rPr>
        <w:t>WHEREAS, as a result of the consummation of the Business Combination and that certain Assignment and Assumption Agreement, dated October 28, 2025, by and between the Company and Legacy Terrestrial Energy, the Company assumed all Legacy Terrestrial Energy’s rights, interests and obligations in, and under the Original Warrant Certificate; and</w:t>
      </w:r>
    </w:p>
    <w:p>
      <w:pPr>
        <w:spacing w:after="0" w:line="165" w:lineRule="exact"/>
        <w:rPr>
          <w:sz w:val="20"/>
          <w:szCs w:val="20"/>
          <w:color w:val="auto"/>
        </w:rPr>
      </w:pPr>
    </w:p>
    <w:p>
      <w:pPr>
        <w:jc w:val="both"/>
        <w:ind w:left="20" w:hanging="8"/>
        <w:spacing w:after="0" w:line="276" w:lineRule="auto"/>
        <w:rPr>
          <w:sz w:val="20"/>
          <w:szCs w:val="20"/>
          <w:color w:val="auto"/>
        </w:rPr>
      </w:pPr>
      <w:r>
        <w:rPr>
          <w:rFonts w:ascii="Times New Roman" w:cs="Times New Roman" w:eastAsia="Times New Roman" w:hAnsi="Times New Roman"/>
          <w:sz w:val="18"/>
          <w:szCs w:val="18"/>
          <w:color w:val="auto"/>
        </w:rPr>
        <w:t>WHEREAS, as a result of the foregoing, the Company wishes to deliver to the Holder an amended and restated warrant certificate pursuant to Section 3(1) of the Original Warrant Certificate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311150</wp:posOffset>
            </wp:positionV>
            <wp:extent cx="629158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324" w:lineRule="exact"/>
        <w:rPr>
          <w:sz w:val="20"/>
          <w:szCs w:val="20"/>
          <w:color w:val="auto"/>
        </w:rPr>
      </w:pPr>
    </w:p>
    <w:p>
      <w:pPr>
        <w:jc w:val="both"/>
        <w:ind w:left="20" w:hanging="8"/>
        <w:spacing w:after="0" w:line="251" w:lineRule="auto"/>
        <w:rPr>
          <w:sz w:val="20"/>
          <w:szCs w:val="20"/>
          <w:color w:val="auto"/>
        </w:rPr>
      </w:pPr>
      <w:r>
        <w:rPr>
          <w:rFonts w:ascii="Times New Roman" w:cs="Times New Roman" w:eastAsia="Times New Roman" w:hAnsi="Times New Roman"/>
          <w:sz w:val="18"/>
          <w:szCs w:val="18"/>
          <w:color w:val="auto"/>
        </w:rPr>
        <w:t>reflect the assumption by the Company of the obligation to issue shares of common stock, par value $0.0001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 pursuant to this Warrant Certificate, to reflect adjustments to the Exercise Price and number of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by the Holder as a result of the Business Combination, to eliminate certain provisions and defined terms that have become inapplicable following the consummation of the Business Combination, and to incorporate updates that are intended to be purely ministerial in nature.</w:t>
      </w:r>
    </w:p>
    <w:p>
      <w:pPr>
        <w:spacing w:after="0" w:line="158" w:lineRule="exact"/>
        <w:rPr>
          <w:sz w:val="20"/>
          <w:szCs w:val="20"/>
          <w:color w:val="auto"/>
        </w:rPr>
      </w:pPr>
    </w:p>
    <w:p>
      <w:pPr>
        <w:jc w:val="both"/>
        <w:ind w:left="20" w:hanging="8"/>
        <w:spacing w:after="0" w:line="281" w:lineRule="auto"/>
        <w:rPr>
          <w:sz w:val="20"/>
          <w:szCs w:val="20"/>
          <w:color w:val="auto"/>
        </w:rPr>
      </w:pPr>
      <w:r>
        <w:rPr>
          <w:rFonts w:ascii="Times New Roman" w:cs="Times New Roman" w:eastAsia="Times New Roman" w:hAnsi="Times New Roman"/>
          <w:sz w:val="18"/>
          <w:szCs w:val="18"/>
          <w:color w:val="auto"/>
        </w:rPr>
        <w:t>NOW, THEREFORE, the Company hereby delivers to the Holder this warrant certificate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which is substantially similar in economic substance to the Original Warrant Certificate and shall serve as its replacement:</w:t>
      </w:r>
    </w:p>
    <w:p>
      <w:pPr>
        <w:spacing w:after="0" w:line="146" w:lineRule="exact"/>
        <w:rPr>
          <w:sz w:val="20"/>
          <w:szCs w:val="20"/>
          <w:color w:val="auto"/>
        </w:rPr>
      </w:pPr>
    </w:p>
    <w:p>
      <w:pPr>
        <w:jc w:val="both"/>
        <w:ind w:left="20" w:hanging="8"/>
        <w:spacing w:after="0" w:line="253" w:lineRule="auto"/>
        <w:rPr>
          <w:sz w:val="20"/>
          <w:szCs w:val="20"/>
          <w:color w:val="auto"/>
        </w:rPr>
      </w:pPr>
      <w:r>
        <w:rPr>
          <w:rFonts w:ascii="Times New Roman" w:cs="Times New Roman" w:eastAsia="Times New Roman" w:hAnsi="Times New Roman"/>
          <w:sz w:val="18"/>
          <w:szCs w:val="18"/>
          <w:color w:val="auto"/>
        </w:rPr>
        <w:t>This is to certify that, for value received, the Holder has the right to purchase from the Company, at the Exercise Price (as defined below) and upon and subject to the terms and conditions referred to herein, up to the number shares of Common Stock set forth on the face of this Warrant Certificate on the basis of one (1) share of Common Stock of the Company for one (1) Warrant, subject to adjustment in connection with certain events, at any time during the Exercise Period.</w:t>
      </w:r>
    </w:p>
    <w:p>
      <w:pPr>
        <w:spacing w:after="0" w:line="15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Warrant Certificate, the following terms have the following meanings:</w:t>
      </w:r>
    </w:p>
    <w:p>
      <w:pPr>
        <w:spacing w:after="0" w:line="194" w:lineRule="exact"/>
        <w:rPr>
          <w:sz w:val="20"/>
          <w:szCs w:val="20"/>
          <w:color w:val="auto"/>
        </w:rPr>
      </w:pPr>
    </w:p>
    <w:p>
      <w:pPr>
        <w:jc w:val="both"/>
        <w:ind w:left="20" w:hanging="8"/>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commercial banks in New York, New York are required by applicable law to be open for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has the meaning specified in Section 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Exercise Option</w:t>
      </w:r>
      <w:r>
        <w:rPr>
          <w:rFonts w:ascii="Times New Roman" w:cs="Times New Roman" w:eastAsia="Times New Roman" w:hAnsi="Times New Roman"/>
          <w:sz w:val="18"/>
          <w:szCs w:val="18"/>
          <w:color w:val="auto"/>
        </w:rPr>
        <w:t>” has the meaning specified in Section 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Payment Subscription Form</w:t>
      </w:r>
      <w:r>
        <w:rPr>
          <w:rFonts w:ascii="Times New Roman" w:cs="Times New Roman" w:eastAsia="Times New Roman" w:hAnsi="Times New Roman"/>
          <w:sz w:val="18"/>
          <w:szCs w:val="18"/>
          <w:color w:val="auto"/>
        </w:rPr>
        <w:t>” has the meaning specified in Section 2(1)(a).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Cashless Subscription Form</w:t>
      </w:r>
      <w:r>
        <w:rPr>
          <w:rFonts w:ascii="Times New Roman" w:cs="Times New Roman" w:eastAsia="Times New Roman" w:hAnsi="Times New Roman"/>
          <w:sz w:val="18"/>
          <w:szCs w:val="18"/>
          <w:color w:val="auto"/>
        </w:rPr>
        <w:t>” has the meaning specified in Section 2(1)(b)(i).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specified in the preamble to this Warrant Certificate.</w:t>
      </w:r>
    </w:p>
    <w:p>
      <w:pPr>
        <w:spacing w:after="0" w:line="198" w:lineRule="exact"/>
        <w:rPr>
          <w:sz w:val="20"/>
          <w:szCs w:val="20"/>
          <w:color w:val="auto"/>
        </w:rPr>
      </w:pPr>
    </w:p>
    <w:p>
      <w:pPr>
        <w:jc w:val="both"/>
        <w:ind w:left="20" w:hanging="8"/>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 Market Price</w:t>
      </w:r>
      <w:r>
        <w:rPr>
          <w:rFonts w:ascii="Times New Roman" w:cs="Times New Roman" w:eastAsia="Times New Roman" w:hAnsi="Times New Roman"/>
          <w:sz w:val="18"/>
          <w:szCs w:val="18"/>
          <w:color w:val="auto"/>
        </w:rPr>
        <w:t>” means the fair market value of the Common Stock of the Company on the Business Day prior to the applicable exercise date of the Warrant(s) as determined in good faith by the Company’s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means the period commencing on the Issue Date and ending at 4:30 p.m. (Eastern Time) on the Expiry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US$2.24 per share of Common Stock of the Company, subject to adjustment as provided herein.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Subscription Forms</w:t>
      </w:r>
      <w:r>
        <w:rPr>
          <w:rFonts w:ascii="Times New Roman" w:cs="Times New Roman" w:eastAsia="Times New Roman" w:hAnsi="Times New Roman"/>
          <w:sz w:val="18"/>
          <w:szCs w:val="18"/>
          <w:color w:val="auto"/>
        </w:rPr>
        <w:t>” has the meaning specified in Section 2(1)(b)(i).</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Expiry Date</w:t>
      </w:r>
      <w:r>
        <w:rPr>
          <w:rFonts w:ascii="Times New Roman" w:cs="Times New Roman" w:eastAsia="Times New Roman" w:hAnsi="Times New Roman"/>
          <w:sz w:val="18"/>
          <w:szCs w:val="18"/>
          <w:color w:val="auto"/>
        </w:rPr>
        <w:t>” has the meaning specified in the preamble to this Warrant Certificate.</w:t>
      </w:r>
    </w:p>
    <w:p>
      <w:pPr>
        <w:spacing w:after="0" w:line="198"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Price</w:t>
      </w:r>
      <w:r>
        <w:rPr>
          <w:rFonts w:ascii="Times New Roman" w:cs="Times New Roman" w:eastAsia="Times New Roman" w:hAnsi="Times New Roman"/>
          <w:sz w:val="18"/>
          <w:szCs w:val="18"/>
          <w:color w:val="auto"/>
        </w:rPr>
        <w:t>” means (i) if the Company’s Common Stock is listed on a Recognized Exchange, the per share price equal to the average closing price of the Company’s stock for the five (5) trading days prior to the applicable exercise date of the Warrant(s); (ii) if the Company’s stock is not listed on a Recognized Exchange, but is traded in any over-the-counter market, the average closing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584835</wp:posOffset>
            </wp:positionV>
            <wp:extent cx="629158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328" w:lineRule="exact"/>
        <w:rPr>
          <w:sz w:val="20"/>
          <w:szCs w:val="20"/>
          <w:color w:val="auto"/>
        </w:rPr>
      </w:pPr>
    </w:p>
    <w:p>
      <w:pPr>
        <w:jc w:val="both"/>
        <w:ind w:left="20" w:hanging="8"/>
        <w:spacing w:after="0" w:line="276" w:lineRule="auto"/>
        <w:rPr>
          <w:sz w:val="20"/>
          <w:szCs w:val="20"/>
          <w:color w:val="auto"/>
        </w:rPr>
      </w:pPr>
      <w:r>
        <w:rPr>
          <w:rFonts w:ascii="Times New Roman" w:cs="Times New Roman" w:eastAsia="Times New Roman" w:hAnsi="Times New Roman"/>
          <w:sz w:val="18"/>
          <w:szCs w:val="18"/>
          <w:color w:val="auto"/>
        </w:rPr>
        <w:t>the Company’s stock for the five (5) trading days prior to the applicable exercise date of the Warrant(s); (iii) if the Company’s securities are not publicly traded, the Directors’ Market Price, as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has the meaning specified in the preamble to this Warrant Certificate.</w:t>
      </w:r>
    </w:p>
    <w:p>
      <w:pPr>
        <w:spacing w:after="0" w:line="211" w:lineRule="exact"/>
        <w:rPr>
          <w:sz w:val="20"/>
          <w:szCs w:val="20"/>
          <w:color w:val="auto"/>
        </w:rPr>
      </w:pPr>
    </w:p>
    <w:p>
      <w:pPr>
        <w:jc w:val="both"/>
        <w:ind w:left="20" w:hanging="8"/>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means that certain lock-up agreement in substantially the form attached as Annex K to the Registration Statement, as amended filed on Form S-4 (File No. 333-288735) dated September 26,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Expiry Date</w:t>
      </w:r>
      <w:r>
        <w:rPr>
          <w:rFonts w:ascii="Times New Roman" w:cs="Times New Roman" w:eastAsia="Times New Roman" w:hAnsi="Times New Roman"/>
          <w:sz w:val="18"/>
          <w:szCs w:val="18"/>
          <w:color w:val="auto"/>
        </w:rPr>
        <w:t>” means the earliest expiry date of the “black-out” periods pursuant to the Lock-Up Agreement.</w:t>
      </w:r>
    </w:p>
    <w:p>
      <w:pPr>
        <w:spacing w:after="0" w:line="211" w:lineRule="exact"/>
        <w:rPr>
          <w:sz w:val="20"/>
          <w:szCs w:val="20"/>
          <w:color w:val="auto"/>
        </w:rPr>
      </w:pPr>
    </w:p>
    <w:p>
      <w:pPr>
        <w:jc w:val="both"/>
        <w:ind w:left="20" w:hanging="8"/>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Recognized Exchange</w:t>
      </w:r>
      <w:r>
        <w:rPr>
          <w:rFonts w:ascii="Times New Roman" w:cs="Times New Roman" w:eastAsia="Times New Roman" w:hAnsi="Times New Roman"/>
          <w:sz w:val="18"/>
          <w:szCs w:val="18"/>
          <w:color w:val="auto"/>
        </w:rPr>
        <w:t>” means the Nasdaq, the New York Stock Exchange, the Toronto Stock Exchange, the London Stock Exchange, the Hong Kong Stock Exchange, the Paris Stock Exchange, the Frankfurt Stock Exchange or the Oslo Stock Exchange, as applicable.</w:t>
      </w:r>
    </w:p>
    <w:p>
      <w:pPr>
        <w:spacing w:after="0" w:line="3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EXERCISE OF WARRANTS.</w:t>
      </w:r>
    </w:p>
    <w:p>
      <w:pPr>
        <w:spacing w:after="0" w:line="202" w:lineRule="exact"/>
        <w:rPr>
          <w:sz w:val="20"/>
          <w:szCs w:val="20"/>
          <w:color w:val="auto"/>
        </w:rPr>
      </w:pPr>
    </w:p>
    <w:p>
      <w:pPr>
        <w:jc w:val="both"/>
        <w:ind w:left="640" w:right="20" w:hanging="635"/>
        <w:spacing w:after="0" w:line="253"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Warrant Certificate, each Warrant may be exercised at the Exercise Price during the Exercise Period subject to the accuracy of the investment representations as of the date of such exercise. The right to purchase shares of Common Stock of the Company may be exercised in whole or in part at the Exercise Price within the times set forth as follows:</w:t>
      </w:r>
    </w:p>
    <w:p>
      <w:pPr>
        <w:spacing w:after="0" w:line="158"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paying the Exercise Price in cash, by:</w:t>
      </w:r>
    </w:p>
    <w:p>
      <w:pPr>
        <w:spacing w:after="0" w:line="193" w:lineRule="exact"/>
        <w:rPr>
          <w:rFonts w:ascii="Times New Roman" w:cs="Times New Roman" w:eastAsia="Times New Roman" w:hAnsi="Times New Roman"/>
          <w:sz w:val="18"/>
          <w:szCs w:val="18"/>
          <w:color w:val="auto"/>
        </w:rPr>
      </w:pPr>
    </w:p>
    <w:p>
      <w:pPr>
        <w:jc w:val="both"/>
        <w:ind w:left="1920" w:right="20" w:hanging="622"/>
        <w:spacing w:after="0" w:line="261" w:lineRule="auto"/>
        <w:tabs>
          <w:tab w:leader="none" w:pos="19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executing the subscription form attached as Schedule “A” (the “</w:t>
      </w:r>
      <w:r>
        <w:rPr>
          <w:rFonts w:ascii="Times New Roman" w:cs="Times New Roman" w:eastAsia="Times New Roman" w:hAnsi="Times New Roman"/>
          <w:sz w:val="18"/>
          <w:szCs w:val="18"/>
          <w:b w:val="1"/>
          <w:bCs w:val="1"/>
          <w:color w:val="auto"/>
        </w:rPr>
        <w:t>Cash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Subscription Form</w:t>
      </w:r>
      <w:r>
        <w:rPr>
          <w:rFonts w:ascii="Times New Roman" w:cs="Times New Roman" w:eastAsia="Times New Roman" w:hAnsi="Times New Roman"/>
          <w:sz w:val="18"/>
          <w:szCs w:val="18"/>
          <w:color w:val="auto"/>
        </w:rPr>
        <w:t>”) for the number of shares of Common Stock of the Company which the Holder wishes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in the manner therein indicated;</w:t>
      </w:r>
    </w:p>
    <w:p>
      <w:pPr>
        <w:spacing w:after="0" w:line="151" w:lineRule="exact"/>
        <w:rPr>
          <w:rFonts w:ascii="Times New Roman" w:cs="Times New Roman" w:eastAsia="Times New Roman" w:hAnsi="Times New Roman"/>
          <w:sz w:val="18"/>
          <w:szCs w:val="18"/>
          <w:color w:val="auto"/>
        </w:rPr>
      </w:pPr>
    </w:p>
    <w:p>
      <w:pPr>
        <w:jc w:val="both"/>
        <w:ind w:left="1920" w:right="20" w:hanging="622"/>
        <w:spacing w:after="0" w:line="259" w:lineRule="auto"/>
        <w:tabs>
          <w:tab w:leader="none" w:pos="19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this Warrant Certificate, together with the completed Cash Payment Subscription Form, to the Company at the address set forth on Section 5 below or such other address as the Company may direct by written notice; and</w:t>
      </w:r>
    </w:p>
    <w:p>
      <w:pPr>
        <w:spacing w:after="0" w:line="152" w:lineRule="exact"/>
        <w:rPr>
          <w:rFonts w:ascii="Times New Roman" w:cs="Times New Roman" w:eastAsia="Times New Roman" w:hAnsi="Times New Roman"/>
          <w:sz w:val="18"/>
          <w:szCs w:val="18"/>
          <w:color w:val="auto"/>
        </w:rPr>
      </w:pPr>
    </w:p>
    <w:p>
      <w:pPr>
        <w:jc w:val="both"/>
        <w:ind w:left="1920" w:right="20" w:hanging="622"/>
        <w:spacing w:after="0" w:line="253" w:lineRule="auto"/>
        <w:tabs>
          <w:tab w:leader="none" w:pos="19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the appropriate Exercise Price, denominated in U.S. dollars (US$), for the number of shares of Common Stock of the Company subscribed for, either by wire transfer of immediately available funds to the account(s) designated in writing by the Company or by certified check or bank draft or money order payable to the Company.</w:t>
      </w:r>
    </w:p>
    <w:p>
      <w:pPr>
        <w:spacing w:after="0" w:line="158"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paying for the Exercise Price in Warrants by way of the Cashless Exercise Option specified under Section 4, by:</w:t>
      </w:r>
    </w:p>
    <w:p>
      <w:pPr>
        <w:spacing w:after="0" w:line="133" w:lineRule="exact"/>
        <w:rPr>
          <w:rFonts w:ascii="Times New Roman" w:cs="Times New Roman" w:eastAsia="Times New Roman" w:hAnsi="Times New Roman"/>
          <w:sz w:val="18"/>
          <w:szCs w:val="18"/>
          <w:color w:val="auto"/>
        </w:rPr>
      </w:pPr>
    </w:p>
    <w:p>
      <w:pPr>
        <w:jc w:val="both"/>
        <w:ind w:left="1920" w:right="20" w:hanging="622"/>
        <w:spacing w:after="0" w:line="255" w:lineRule="auto"/>
        <w:tabs>
          <w:tab w:leader="none" w:pos="19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executing the subscription form attached as Schedule “B” (the “</w:t>
      </w:r>
      <w:r>
        <w:rPr>
          <w:rFonts w:ascii="Times New Roman" w:cs="Times New Roman" w:eastAsia="Times New Roman" w:hAnsi="Times New Roman"/>
          <w:sz w:val="18"/>
          <w:szCs w:val="18"/>
          <w:b w:val="1"/>
          <w:bCs w:val="1"/>
          <w:color w:val="auto"/>
        </w:rPr>
        <w:t>Cashless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w:t>
      </w:r>
      <w:r>
        <w:rPr>
          <w:rFonts w:ascii="Times New Roman" w:cs="Times New Roman" w:eastAsia="Times New Roman" w:hAnsi="Times New Roman"/>
          <w:sz w:val="18"/>
          <w:szCs w:val="18"/>
          <w:color w:val="auto"/>
        </w:rPr>
        <w:t>”, and together with the Cash Payment Subscription Form, the “</w:t>
      </w:r>
      <w:r>
        <w:rPr>
          <w:rFonts w:ascii="Times New Roman" w:cs="Times New Roman" w:eastAsia="Times New Roman" w:hAnsi="Times New Roman"/>
          <w:sz w:val="18"/>
          <w:szCs w:val="18"/>
          <w:b w:val="1"/>
          <w:bCs w:val="1"/>
          <w:color w:val="auto"/>
        </w:rPr>
        <w:t>Exercise Subscription Forms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for the number of shares of Common Stock of the Company which the Holder wishes to purchase, in the manner therein indicated;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579755</wp:posOffset>
            </wp:positionV>
            <wp:extent cx="629158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45" w:name="page146"/>
    <w:bookmarkEnd w:id="145"/>
    <w:p>
      <w:pPr>
        <w:jc w:val="center"/>
        <w:ind w:right="-14"/>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328" w:lineRule="exact"/>
        <w:rPr>
          <w:sz w:val="20"/>
          <w:szCs w:val="20"/>
          <w:color w:val="auto"/>
        </w:rPr>
      </w:pPr>
    </w:p>
    <w:p>
      <w:pPr>
        <w:jc w:val="both"/>
        <w:ind w:left="1915" w:right="20" w:hanging="622"/>
        <w:spacing w:after="0" w:line="259" w:lineRule="auto"/>
        <w:tabs>
          <w:tab w:leader="none" w:pos="191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this Warrant Certificate, together with the completed Cashless Subscription Form, to the Company at the address set forth on Section 5 below or such other address as the Company may direct by written notice.</w:t>
      </w:r>
    </w:p>
    <w:p>
      <w:pPr>
        <w:spacing w:after="0" w:line="152" w:lineRule="exact"/>
        <w:rPr>
          <w:rFonts w:ascii="Times New Roman" w:cs="Times New Roman" w:eastAsia="Times New Roman" w:hAnsi="Times New Roman"/>
          <w:sz w:val="18"/>
          <w:szCs w:val="18"/>
          <w:color w:val="auto"/>
        </w:rPr>
      </w:pPr>
    </w:p>
    <w:p>
      <w:pPr>
        <w:jc w:val="both"/>
        <w:ind w:left="635" w:hanging="635"/>
        <w:spacing w:after="0" w:line="246" w:lineRule="auto"/>
        <w:tabs>
          <w:tab w:leader="none" w:pos="6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exercise of any Warrant and the clearance of the funds in payment of the Exercise Price, the Company shall issue or cause to be issued to the Holder the number of shares of Common Stock of the Company subscribed for and will cause such shares of Common Stock of the Company to be registered to the Holder in book-entry format using the address set forth on the applicable Exercise Subscription Form. If, and only if, the Directors’ Market Price is the applicable Fair Market Price used to determine the number of shares of Common Stock issued pursuant to the exercise of the Warrants by way of the Cashless Exercise Option, the Company shall provide the Holder with a notice specifying the Directors’ Market Price within five (5) Business Days of the date of actual surrender of the Warrant Certificate. Notwithstanding the foregoing, no Warrant shall be exercisable and the Company shall not be obligated to issue shares of Common Stock upon exercise of a Warrant unless the Common Stock issuable upon such Warrant exercise have been registered, qualified or deemed to be exempt from registration or qualification under the applicable securities laws.</w:t>
      </w:r>
    </w:p>
    <w:p>
      <w:pPr>
        <w:spacing w:after="0" w:line="162" w:lineRule="exact"/>
        <w:rPr>
          <w:rFonts w:ascii="Times New Roman" w:cs="Times New Roman" w:eastAsia="Times New Roman" w:hAnsi="Times New Roman"/>
          <w:sz w:val="18"/>
          <w:szCs w:val="18"/>
          <w:color w:val="auto"/>
        </w:rPr>
      </w:pPr>
    </w:p>
    <w:p>
      <w:pPr>
        <w:jc w:val="both"/>
        <w:ind w:left="635" w:hanging="635"/>
        <w:spacing w:after="0" w:line="247" w:lineRule="auto"/>
        <w:tabs>
          <w:tab w:leader="none" w:pos="6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subscribes for a number of shares of Common Stock of the Company which is less than the number of shares of Common Stock of the Company permitted by this Warrant Certificate, the Company shall forthwith cause to be delivered to the Holder a further Warrant Certificate in respect of the balance of the Common Stock of the Company referred to in this Warrant Certificate not then being subscribed for. The Company shall not be required to issue an aggregate number of shares of Common Stock of the Company that results in any fractional shares of Common Stock of the Company being issued and the Holder shall not be entitled to any cash payment or compensation in lieu of a fractional share of Common Stock of the Company.</w:t>
      </w:r>
    </w:p>
    <w:p>
      <w:pPr>
        <w:spacing w:after="0" w:line="166" w:lineRule="exact"/>
        <w:rPr>
          <w:rFonts w:ascii="Times New Roman" w:cs="Times New Roman" w:eastAsia="Times New Roman" w:hAnsi="Times New Roman"/>
          <w:sz w:val="18"/>
          <w:szCs w:val="18"/>
          <w:color w:val="auto"/>
        </w:rPr>
      </w:pPr>
    </w:p>
    <w:p>
      <w:pPr>
        <w:jc w:val="both"/>
        <w:ind w:left="635" w:hanging="635"/>
        <w:spacing w:after="0" w:line="250" w:lineRule="auto"/>
        <w:tabs>
          <w:tab w:leader="none" w:pos="6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upon receiving a Cash Payment Subscription Form, the Company determines in good faith that (i) the proposed exercise of this Warrant would require registration under applicable securities laws, (ii) such registration is not then in effect, and (iii) exercise of this Warrant on a cashless basis would not require such registration, then the Company shall notify the Holder of such determination and shall effect the exercise of this Warrant on a cashless basis pursuant to Section 4 unless the Holder elects to rescind such exercise.</w:t>
      </w:r>
    </w:p>
    <w:p>
      <w:pPr>
        <w:spacing w:after="0" w:line="158" w:lineRule="exact"/>
        <w:rPr>
          <w:sz w:val="20"/>
          <w:szCs w:val="20"/>
          <w:color w:val="auto"/>
        </w:rPr>
      </w:pPr>
    </w:p>
    <w:p>
      <w:pPr>
        <w:ind w:left="15"/>
        <w:spacing w:after="0"/>
        <w:tabs>
          <w:tab w:leader="none" w:pos="1194"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CAPITAL REORGANIZATION</w:t>
      </w:r>
    </w:p>
    <w:p>
      <w:pPr>
        <w:spacing w:after="0" w:line="202" w:lineRule="exact"/>
        <w:rPr>
          <w:sz w:val="20"/>
          <w:szCs w:val="20"/>
          <w:color w:val="auto"/>
        </w:rPr>
      </w:pPr>
    </w:p>
    <w:p>
      <w:pPr>
        <w:jc w:val="both"/>
        <w:ind w:left="635" w:hanging="635"/>
        <w:spacing w:after="0" w:line="245" w:lineRule="auto"/>
        <w:tabs>
          <w:tab w:leader="none" w:pos="6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be, prior to the exercise of the Warrants, any (a) reorganization of the authorized capital of the Company by way of consolidation, merger, sub-division, amalgamation, arrangement, reclassification or otherwise; (b) the payment of any stock dividends (other than in the ordinary course of business); (c) a special distribution or rights offering; (d) the change or exchange of the Common Stock or preferred stock of the Company into or with another security (other than the conversion of the Common Stock or preferred stock of the Company); or (e) any similar event or transaction not specifically contemplated by the foregoing subsections (a), (b), (c), and (d), as determined by the Company in its sole discretion (in each case, a “</w:t>
      </w:r>
      <w:r>
        <w:rPr>
          <w:rFonts w:ascii="Times New Roman" w:cs="Times New Roman" w:eastAsia="Times New Roman" w:hAnsi="Times New Roman"/>
          <w:sz w:val="18"/>
          <w:szCs w:val="18"/>
          <w:b w:val="1"/>
          <w:bCs w:val="1"/>
          <w:color w:val="auto"/>
        </w:rPr>
        <w:t>Capital Reorganization</w:t>
      </w:r>
      <w:r>
        <w:rPr>
          <w:rFonts w:ascii="Times New Roman" w:cs="Times New Roman" w:eastAsia="Times New Roman" w:hAnsi="Times New Roman"/>
          <w:sz w:val="18"/>
          <w:szCs w:val="18"/>
          <w:color w:val="auto"/>
        </w:rPr>
        <w:t>”), then there shall automatically be an adjustment, as applicable, in (i) the number and, if applicable, type of securities which may be issued pursuant to this Warrant Certificate, and (ii) the Exercise Price for such securities, such that the rights under this Warrant Certificate following such adjustment shall thereafter be as reasonably as possible equivalent to the rights originally granted hereby and such that the Holder, upon exercise of this Warrant Certificate following the effective date of the Capital Reorganization, shall receive the number and type of securities the Holder would have been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720725</wp:posOffset>
            </wp:positionV>
            <wp:extent cx="629158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643" w:right="999" w:bottom="1440" w:gutter="0" w:footer="0" w:header="0"/>
        </w:sectPr>
      </w:pPr>
    </w:p>
    <w:bookmarkStart w:id="146" w:name="page147"/>
    <w:bookmarkEnd w:id="146"/>
    <w:p>
      <w:pPr>
        <w:jc w:val="center"/>
        <w:ind w:right="-14"/>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328" w:lineRule="exact"/>
        <w:rPr>
          <w:sz w:val="20"/>
          <w:szCs w:val="20"/>
          <w:color w:val="auto"/>
        </w:rPr>
      </w:pPr>
    </w:p>
    <w:p>
      <w:pPr>
        <w:ind w:left="635" w:hanging="8"/>
        <w:spacing w:after="0" w:line="276" w:lineRule="auto"/>
        <w:rPr>
          <w:sz w:val="20"/>
          <w:szCs w:val="20"/>
          <w:color w:val="auto"/>
        </w:rPr>
      </w:pPr>
      <w:r>
        <w:rPr>
          <w:rFonts w:ascii="Times New Roman" w:cs="Times New Roman" w:eastAsia="Times New Roman" w:hAnsi="Times New Roman"/>
          <w:sz w:val="18"/>
          <w:szCs w:val="18"/>
          <w:color w:val="auto"/>
        </w:rPr>
        <w:t>if, on the effective date thereof, the Holder had been the registered holder of the number of shares of Common Stock which the Holder was theretofore entitled to purchase or receive upon the exercise of the Warrants.</w:t>
      </w:r>
    </w:p>
    <w:p>
      <w:pPr>
        <w:spacing w:after="0" w:line="137" w:lineRule="exact"/>
        <w:rPr>
          <w:sz w:val="20"/>
          <w:szCs w:val="20"/>
          <w:color w:val="auto"/>
        </w:rPr>
      </w:pPr>
    </w:p>
    <w:p>
      <w:pPr>
        <w:jc w:val="both"/>
        <w:ind w:left="635" w:right="20" w:hanging="635"/>
        <w:spacing w:after="0" w:line="247" w:lineRule="auto"/>
        <w:tabs>
          <w:tab w:leader="none" w:pos="6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foregoing, the Company will make adjustments in connection with a Capital Reorganization as it considers necessary and equitable, acting in good faith. If at any time a dispute arises with respect to adjustments provided for in connection with a Capital Reorganization, such dispute will be conclusively determined by the auditors of the Company or if they are unable or unwilling to act, by such other firm of independent chartered accountants as may be selected by the directors of the Company and any such determination, absent manifest error, will be binding upon the Company, the Holder and shareholders of the Company. The Company will provide such auditors or accountants with access to all necessary records of the Company and fees payable to such accountants or auditors will be paid by the Company.</w:t>
      </w:r>
    </w:p>
    <w:p>
      <w:pPr>
        <w:spacing w:after="0" w:line="163" w:lineRule="exact"/>
        <w:rPr>
          <w:sz w:val="20"/>
          <w:szCs w:val="20"/>
          <w:color w:val="auto"/>
        </w:rPr>
      </w:pPr>
    </w:p>
    <w:p>
      <w:pPr>
        <w:ind w:left="15"/>
        <w:spacing w:after="0"/>
        <w:tabs>
          <w:tab w:leader="none" w:pos="1254"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b w:val="1"/>
          <w:bCs w:val="1"/>
          <w:color w:val="auto"/>
        </w:rPr>
        <w:t>CASHLESS EXERCISE OF WARRANTS</w:t>
      </w:r>
    </w:p>
    <w:p>
      <w:pPr>
        <w:spacing w:after="0" w:line="215" w:lineRule="exact"/>
        <w:rPr>
          <w:sz w:val="20"/>
          <w:szCs w:val="20"/>
          <w:color w:val="auto"/>
        </w:rPr>
      </w:pPr>
    </w:p>
    <w:p>
      <w:pPr>
        <w:jc w:val="both"/>
        <w:ind w:left="635" w:hanging="635"/>
        <w:spacing w:after="0" w:line="245" w:lineRule="auto"/>
        <w:tabs>
          <w:tab w:leader="none" w:pos="6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and provided that the Warrants could otherwise be exercised in accordance with the terms hereof, the Holder may elect to exercise the Warrants, in whole or in part, without payment of the aggregate Exercise Price due on such exercise (a “</w:t>
      </w:r>
      <w:r>
        <w:rPr>
          <w:rFonts w:ascii="Times New Roman" w:cs="Times New Roman" w:eastAsia="Times New Roman" w:hAnsi="Times New Roman"/>
          <w:sz w:val="18"/>
          <w:szCs w:val="18"/>
          <w:b w:val="1"/>
          <w:bCs w:val="1"/>
          <w:color w:val="auto"/>
        </w:rPr>
        <w:t>Cashless Exercise Option</w:t>
      </w:r>
      <w:r>
        <w:rPr>
          <w:rFonts w:ascii="Times New Roman" w:cs="Times New Roman" w:eastAsia="Times New Roman" w:hAnsi="Times New Roman"/>
          <w:sz w:val="18"/>
          <w:szCs w:val="18"/>
          <w:color w:val="auto"/>
        </w:rPr>
        <w:t>”) in the manner set out in this Section 4, as applicable. If the Holder elects the Cashless Exercise Option, the Holder shall provide written notice of the election to the Company in the form of the Cashless Subscription Form. Upon actual receipt by the Company of a Cashless Subscription Form, a confirmation of book entry registration for the appropriate number of shares of Common Stock of the Company will be delivered to the person(s) in whose name(s) the Common Stock subscribed for is to be issued within five (5) Business Days of receipt of the Cashless Subscription Form, such person(s) shall become a holder in respect of such shares of Common Stock with effect from the date of such exercise, and, unless this Warrant Certificate has expired, a new Warrant Certificate representing the unexercised balance of the Warrants, if any, or all of the Warrants evidenced by this Warrant Certificate having been exercised will also be issued to the Holder within such time.</w:t>
      </w:r>
    </w:p>
    <w:p>
      <w:pPr>
        <w:spacing w:after="0" w:line="168" w:lineRule="exact"/>
        <w:rPr>
          <w:rFonts w:ascii="Times New Roman" w:cs="Times New Roman" w:eastAsia="Times New Roman" w:hAnsi="Times New Roman"/>
          <w:sz w:val="18"/>
          <w:szCs w:val="18"/>
          <w:color w:val="auto"/>
        </w:rPr>
      </w:pPr>
    </w:p>
    <w:p>
      <w:pPr>
        <w:jc w:val="both"/>
        <w:ind w:left="635" w:hanging="635"/>
        <w:spacing w:after="0" w:line="259" w:lineRule="auto"/>
        <w:tabs>
          <w:tab w:leader="none" w:pos="6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of the Company to be issued to the Holder pursuant to a Cashless Exercise Option shall be determined as follows (provided, for the avoidance of doubt, that if the following calculation results in a negative number, then no Common Stock of the Company shall be issuable via the Cashless Exercise Option):</w:t>
      </w:r>
    </w:p>
    <w:p>
      <w:pPr>
        <w:spacing w:after="0" w:line="165" w:lineRule="exact"/>
        <w:rPr>
          <w:sz w:val="20"/>
          <w:szCs w:val="20"/>
          <w:color w:val="auto"/>
        </w:rPr>
      </w:pPr>
    </w:p>
    <w:tbl>
      <w:tblPr>
        <w:tblLayout w:type="fixed"/>
        <w:tblInd w:w="1255" w:type="dxa"/>
        <w:tblCellMar>
          <w:top w:w="0" w:type="dxa"/>
          <w:left w:w="0" w:type="dxa"/>
          <w:bottom w:w="0" w:type="dxa"/>
          <w:right w:w="0" w:type="dxa"/>
        </w:tblCellMar>
      </w:tblPr>
      <w:tr>
        <w:trPr>
          <w:trHeight w:val="235"/>
        </w:trPr>
        <w:tc>
          <w:tcPr>
            <w:tcW w:w="900" w:type="dxa"/>
            <w:vAlign w:val="bottom"/>
          </w:tcPr>
          <w:p>
            <w:pPr>
              <w:spacing w:after="0"/>
              <w:rPr>
                <w:sz w:val="20"/>
                <w:szCs w:val="20"/>
                <w:color w:val="auto"/>
              </w:rPr>
            </w:pPr>
          </w:p>
        </w:tc>
        <w:tc>
          <w:tcPr>
            <w:tcW w:w="244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X =</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 x (A-B)</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5300" w:type="dxa"/>
            <w:vAlign w:val="bottom"/>
            <w:gridSpan w:val="2"/>
            <w:vMerge w:val="restart"/>
          </w:tcPr>
          <w:p>
            <w:pPr>
              <w:jc w:val="center"/>
              <w:ind w:right="416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7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X = the number of shares of Common Stock to be issued to the Holder upon exercising the Warrants;</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7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Y = the number of Warrants being exercised;</w:t>
            </w: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7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 the Fair Market Price per share of the Common Stock; and</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7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 the Exercise Price of the Warrants.</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35" w:right="20" w:hanging="635"/>
        <w:spacing w:after="0" w:line="276" w:lineRule="auto"/>
        <w:tabs>
          <w:tab w:leader="none" w:pos="6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this Warrant Certificate is not previously exercised in full by the Holder on or prior to the Expiry Date, and if the Fair Market Price per share of Common Stock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568325</wp:posOffset>
            </wp:positionV>
            <wp:extent cx="629158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643" w:right="99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328"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18"/>
          <w:szCs w:val="18"/>
          <w:color w:val="auto"/>
        </w:rPr>
        <w:t>Company is greater than the Exercise Price with respect to the Common Stock of the Company, any such portion of this Warrant Certificate that remains unexercised shall be exercised automatically in whole (and not in part) at the Expiry Date (with the Exercise Price satisfied pursuant to a Cashless Exercise Option in accordance with this Section 4), unless the Holder provides a written instruction to the Company to allow the Warrants to lapse without exercise at least three (3) days prior to the Expiry Date, and such instruction will result in the termination of this Warrant Certificate. To the extent this Warrant Certificate or any portion thereof is deemed automatically exercised pursuant to this Section 4(3), the Company agrees to promptly notify the Holder of the number of shares of Common Stock of the Company that the Holder is to receive by reason of such automatic exercise.</w:t>
      </w:r>
    </w:p>
    <w:p>
      <w:pPr>
        <w:spacing w:after="0" w:line="162" w:lineRule="exact"/>
        <w:rPr>
          <w:sz w:val="20"/>
          <w:szCs w:val="20"/>
          <w:color w:val="auto"/>
        </w:rPr>
      </w:pPr>
    </w:p>
    <w:p>
      <w:pPr>
        <w:jc w:val="both"/>
        <w:ind w:left="640" w:right="20" w:hanging="635"/>
        <w:spacing w:after="0" w:line="253"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shares of Common Stock of the Company to be issued to the Holder exercising its Warrants on a cashless basis in accordance with Section 4(2) above results in a fractional number, the number of shares of Common Stock to be issued to the Holder shall be rounded down to the nearest whole number with compensation to the Holder therefor for the fractional share of Common Stock to be paid in accordance with Section 2.</w:t>
      </w:r>
    </w:p>
    <w:p>
      <w:pPr>
        <w:spacing w:after="0" w:line="15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8"/>
          <w:szCs w:val="18"/>
          <w:b w:val="1"/>
          <w:bCs w:val="1"/>
          <w:color w:val="auto"/>
        </w:rPr>
        <w:t>NOTICE</w:t>
      </w:r>
    </w:p>
    <w:p>
      <w:pPr>
        <w:spacing w:after="0" w:line="215" w:lineRule="exact"/>
        <w:rPr>
          <w:sz w:val="20"/>
          <w:szCs w:val="20"/>
          <w:color w:val="auto"/>
        </w:rPr>
      </w:pPr>
    </w:p>
    <w:p>
      <w:pPr>
        <w:jc w:val="both"/>
        <w:ind w:left="640" w:right="20" w:hanging="635"/>
        <w:spacing w:after="0" w:line="259" w:lineRule="auto"/>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this Certificate shall be given in writing and either delivered or mailed by prepaid post to the party to receive such notice at the address indicated below, or at such other address as any party may hereafter designate by notice in writing to each of the others:</w:t>
      </w:r>
    </w:p>
    <w:p>
      <w:pPr>
        <w:spacing w:after="0" w:line="152" w:lineRule="exact"/>
        <w:rPr>
          <w:rFonts w:ascii="Times New Roman" w:cs="Times New Roman" w:eastAsia="Times New Roman" w:hAnsi="Times New Roman"/>
          <w:sz w:val="18"/>
          <w:szCs w:val="18"/>
          <w:color w:val="auto"/>
        </w:rPr>
      </w:pPr>
    </w:p>
    <w:p>
      <w:pPr>
        <w:ind w:left="1260" w:hanging="628"/>
        <w:spacing w:after="0"/>
        <w:tabs>
          <w:tab w:leader="none" w:pos="12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Terrestrial Energy Inc.</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2730 W. Tyvola Road, Suite 100</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Charlotte, North Carolina 28217</w:t>
      </w:r>
    </w:p>
    <w:p>
      <w:pPr>
        <w:spacing w:after="0" w:line="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Attention: Steven Millsap, General Counsel, Secretary and Chief Compliance Officer</w:t>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smillsap@terrestrialenergy.com</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Copied (which shall not constitute notice) to:</w:t>
      </w:r>
    </w:p>
    <w:p>
      <w:pPr>
        <w:spacing w:after="0" w:line="2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Bryan Cave Leighton Paisner LLP</w:t>
      </w:r>
    </w:p>
    <w:p>
      <w:pPr>
        <w:spacing w:after="0" w:line="2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One Atlantic Center</w:t>
      </w:r>
    </w:p>
    <w:p>
      <w:pPr>
        <w:ind w:left="1880"/>
        <w:spacing w:after="0" w:line="193" w:lineRule="auto"/>
        <w:rPr>
          <w:sz w:val="20"/>
          <w:szCs w:val="20"/>
          <w:color w:val="auto"/>
        </w:rPr>
      </w:pPr>
      <w:r>
        <w:rPr>
          <w:rFonts w:ascii="Times New Roman" w:cs="Times New Roman" w:eastAsia="Times New Roman" w:hAnsi="Times New Roman"/>
          <w:sz w:val="18"/>
          <w:szCs w:val="18"/>
          <w:color w:val="auto"/>
        </w:rPr>
        <w:t>1201 W. Peachtree St., N.W.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w:t>
      </w:r>
    </w:p>
    <w:p>
      <w:pPr>
        <w:ind w:left="1880"/>
        <w:spacing w:after="0"/>
        <w:rPr>
          <w:sz w:val="20"/>
          <w:szCs w:val="20"/>
          <w:color w:val="auto"/>
        </w:rPr>
      </w:pPr>
      <w:r>
        <w:rPr>
          <w:rFonts w:ascii="Times New Roman" w:cs="Times New Roman" w:eastAsia="Times New Roman" w:hAnsi="Times New Roman"/>
          <w:sz w:val="18"/>
          <w:szCs w:val="18"/>
          <w:color w:val="auto"/>
        </w:rPr>
        <w:t>Atlanta, Georgia 30309-3471</w:t>
      </w:r>
    </w:p>
    <w:p>
      <w:pPr>
        <w:spacing w:after="0" w:line="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Attention: Amy Wilson / Jonathan Nesher</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amy.wilson@bclplaw.com / jonathan.nesher@bclplaw.com</w:t>
      </w:r>
    </w:p>
    <w:p>
      <w:pPr>
        <w:spacing w:after="0" w:line="183" w:lineRule="exact"/>
        <w:rPr>
          <w:sz w:val="20"/>
          <w:szCs w:val="20"/>
          <w:color w:val="auto"/>
        </w:rPr>
      </w:pPr>
    </w:p>
    <w:p>
      <w:pPr>
        <w:ind w:left="1260" w:hanging="628"/>
        <w:spacing w:after="0"/>
        <w:tabs>
          <w:tab w:leader="none" w:pos="1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 at the Holder’s address or e-mail address, in each case as specified in the Company’s records.</w:t>
      </w:r>
    </w:p>
    <w:p>
      <w:pPr>
        <w:spacing w:after="0" w:line="198" w:lineRule="exact"/>
        <w:rPr>
          <w:sz w:val="20"/>
          <w:szCs w:val="20"/>
          <w:color w:val="auto"/>
        </w:rPr>
      </w:pPr>
    </w:p>
    <w:p>
      <w:pPr>
        <w:jc w:val="both"/>
        <w:ind w:left="640" w:hanging="8"/>
        <w:spacing w:after="0" w:line="250" w:lineRule="auto"/>
        <w:rPr>
          <w:sz w:val="20"/>
          <w:szCs w:val="20"/>
          <w:color w:val="auto"/>
        </w:rPr>
      </w:pPr>
      <w:r>
        <w:rPr>
          <w:rFonts w:ascii="Times New Roman" w:cs="Times New Roman" w:eastAsia="Times New Roman" w:hAnsi="Times New Roman"/>
          <w:sz w:val="18"/>
          <w:szCs w:val="18"/>
          <w:color w:val="auto"/>
        </w:rPr>
        <w:t>Any such communication shall be deemed to have been validly and effectively given if (i) personally delivered, on the date of such delivery if such date is a Business Day and such delivery was made prior to 4:00 p.m. (Eastern Time), otherwise on the next Business Day, (ii) transmitted by e-mail or similar means of electronic communication, on the Business Day following the date of transmission. Any party may change its address for service from time to time by notice given in accordance with the foregoing and any subsequent notice shall be sent to the party at its changed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591820</wp:posOffset>
            </wp:positionV>
            <wp:extent cx="629158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0" w:lineRule="exact"/>
        <w:rPr>
          <w:sz w:val="20"/>
          <w:szCs w:val="20"/>
          <w:color w:val="auto"/>
        </w:rPr>
      </w:pPr>
    </w:p>
    <w:p>
      <w:pPr>
        <w:spacing w:after="0" w:line="324" w:lineRule="exact"/>
        <w:rPr>
          <w:sz w:val="20"/>
          <w:szCs w:val="20"/>
          <w:color w:val="auto"/>
        </w:rPr>
      </w:pPr>
    </w:p>
    <w:p>
      <w:pPr>
        <w:jc w:val="both"/>
        <w:ind w:left="640" w:hanging="635"/>
        <w:spacing w:after="0" w:line="247" w:lineRule="auto"/>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to the Holder at least ten (10) Business Days prior written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date on which the books of the Company are to close or a record is to be taken in connection with any event which requires or might require an adjustment pursuant to a Capital Reorganization. The Notice shall specify the particulars of such Capital Reorganization, and, if determinable, the required adjustment to the Exercise Price and, if applicable, the type of security issuable upon the exercise of the Warrants, and the calculation of the adjustment to the Exercise Price. The Company hereby covenants and agrees that the register of transfers and share transfer books for the securities of the Company will be open, and that the Company will not take any action which might deprive the Holder of the opportunity of exercising the rights of subscription contained in this Warrant Certificate during such ten (10) Business Day period, if applicable.</w:t>
      </w:r>
    </w:p>
    <w:p>
      <w:pPr>
        <w:spacing w:after="0" w:line="162"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ind w:left="640" w:hanging="635"/>
        <w:spacing w:after="0" w:line="26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exercised before the Expiry Date, the book-entry registrations representing the Common Stock of the Company issued in connection with the exercise of any such Warrants will contain the following legends to the extent applicable:</w:t>
      </w:r>
    </w:p>
    <w:p>
      <w:pPr>
        <w:spacing w:after="0" w:line="361" w:lineRule="exact"/>
        <w:rPr>
          <w:sz w:val="20"/>
          <w:szCs w:val="20"/>
          <w:color w:val="auto"/>
        </w:rPr>
      </w:pPr>
    </w:p>
    <w:p>
      <w:pPr>
        <w:jc w:val="both"/>
        <w:ind w:left="1040" w:hanging="8"/>
        <w:spacing w:after="0" w:line="255" w:lineRule="auto"/>
        <w:rPr>
          <w:sz w:val="20"/>
          <w:szCs w:val="20"/>
          <w:color w:val="auto"/>
        </w:rPr>
      </w:pPr>
      <w:r>
        <w:rPr>
          <w:rFonts w:ascii="Times New Roman" w:cs="Times New Roman" w:eastAsia="Times New Roman" w:hAnsi="Times New Roman"/>
          <w:sz w:val="18"/>
          <w:szCs w:val="18"/>
          <w:b w:val="1"/>
          <w:bCs w:val="1"/>
          <w:color w:val="auto"/>
        </w:rPr>
        <w:t>“FOR CANADIAN HOLDERS: UNLESS PERMITTED UNDER SECURITIES LEGISLATION, THE HOLDER OF THIS SECURITY MUST NOT TRADE THE SECURITY BEFORE THE DATE THAT IS FOUR MONTHS AND A DAY AFTER THE LATER OF (I) [ORIGINAL ISSUE DATE]; AND (II) THE DATE THE ISSUER BECOMES A REPORTING ISSUER IN ANY PROVINCE OR TERRITORY OF CANADA.</w:t>
      </w:r>
    </w:p>
    <w:p>
      <w:pPr>
        <w:spacing w:after="0" w:line="165" w:lineRule="exact"/>
        <w:rPr>
          <w:sz w:val="20"/>
          <w:szCs w:val="20"/>
          <w:color w:val="auto"/>
        </w:rPr>
      </w:pPr>
    </w:p>
    <w:p>
      <w:pPr>
        <w:jc w:val="both"/>
        <w:ind w:left="1040" w:hanging="8"/>
        <w:spacing w:after="0" w:line="250" w:lineRule="auto"/>
        <w:rPr>
          <w:sz w:val="20"/>
          <w:szCs w:val="20"/>
          <w:color w:val="auto"/>
        </w:rPr>
      </w:pPr>
      <w:r>
        <w:rPr>
          <w:rFonts w:ascii="Times New Roman" w:cs="Times New Roman" w:eastAsia="Times New Roman" w:hAnsi="Times New Roman"/>
          <w:sz w:val="18"/>
          <w:szCs w:val="18"/>
          <w:b w:val="1"/>
          <w:bCs w:val="1"/>
          <w:color w:val="auto"/>
        </w:rPr>
        <w:t>THE SECURITIES REPRESENTED BY THIS CERTIFICATE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55" w:lineRule="exact"/>
        <w:rPr>
          <w:sz w:val="20"/>
          <w:szCs w:val="20"/>
          <w:color w:val="auto"/>
        </w:rPr>
      </w:pPr>
    </w:p>
    <w:p>
      <w:pPr>
        <w:jc w:val="both"/>
        <w:ind w:left="1040" w:hanging="8"/>
        <w:spacing w:after="0" w:line="255" w:lineRule="auto"/>
        <w:rPr>
          <w:sz w:val="20"/>
          <w:szCs w:val="20"/>
          <w:color w:val="auto"/>
        </w:rPr>
      </w:pPr>
      <w:r>
        <w:rPr>
          <w:rFonts w:ascii="Times New Roman" w:cs="Times New Roman" w:eastAsia="Times New Roman" w:hAnsi="Times New Roman"/>
          <w:sz w:val="18"/>
          <w:szCs w:val="18"/>
          <w:b w:val="1"/>
          <w:bCs w:val="1"/>
          <w:color w:val="auto"/>
        </w:rPr>
        <w:t>THE SECURITIES REPRESENTED HEREBY ARE SUBJECT TO RESTRICTIONS ON TRANSFER SET FORTH IN THE LOCK-UP AGREEMENT, BY AND AMONG THE ISSUER OF SUCH SECURITIES AND THE REGISTERED HOLDER OF THE SHARES. A COPY OF SUCH AGREEMENT WILL BE FURNISHED WITHOUT CHARGE BY THE ISSUER TO THE HOLDER HEREOF UPON WRITTEN REQUEST.”</w:t>
      </w:r>
    </w:p>
    <w:p>
      <w:pPr>
        <w:spacing w:after="0" w:line="169" w:lineRule="exact"/>
        <w:rPr>
          <w:sz w:val="20"/>
          <w:szCs w:val="20"/>
          <w:color w:val="auto"/>
        </w:rPr>
      </w:pPr>
    </w:p>
    <w:p>
      <w:pPr>
        <w:ind w:left="640" w:hanging="635"/>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Certificate may not be sold, assigned or transferred without the prior written approval of the Company.</w:t>
      </w:r>
    </w:p>
    <w:p>
      <w:pPr>
        <w:spacing w:after="0" w:line="197" w:lineRule="exact"/>
        <w:rPr>
          <w:rFonts w:ascii="Times New Roman" w:cs="Times New Roman" w:eastAsia="Times New Roman" w:hAnsi="Times New Roman"/>
          <w:sz w:val="18"/>
          <w:szCs w:val="18"/>
          <w:color w:val="auto"/>
        </w:rPr>
      </w:pPr>
    </w:p>
    <w:p>
      <w:pPr>
        <w:jc w:val="both"/>
        <w:ind w:left="640" w:hanging="635"/>
        <w:spacing w:after="0" w:line="250"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this Warrant Certificate does not constitute the Holder as a shareholder of the Company. In the absence of the exercise of this Warrant Certificate, no provisions of, and no enumeration of the rights or privileges of the Holder in this Warrant Certificate will cause the Holder to be a shareholder of the Company for any purpose. The Holder acknowledges that upon exercise of this Warrant Certificate for shares of the Company, such shares shall be subject to the Certificate of Incorporation and Bylaws of the Company, including any restrictions on transfer set forth therein to the extent applicable.</w:t>
      </w:r>
    </w:p>
    <w:p>
      <w:pPr>
        <w:spacing w:after="0" w:line="162" w:lineRule="exact"/>
        <w:rPr>
          <w:rFonts w:ascii="Times New Roman" w:cs="Times New Roman" w:eastAsia="Times New Roman" w:hAnsi="Times New Roman"/>
          <w:sz w:val="18"/>
          <w:szCs w:val="18"/>
          <w:color w:val="auto"/>
        </w:rPr>
      </w:pPr>
    </w:p>
    <w:p>
      <w:pPr>
        <w:ind w:left="640" w:right="20" w:hanging="635"/>
        <w:spacing w:after="0" w:line="276"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confers any right upon the Holder or any other person to subscribe for or purchase any Common Stock at any time subsequent to 4:30 p.m. (Eastern Time)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568325</wp:posOffset>
            </wp:positionV>
            <wp:extent cx="629158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49" w:name="page150"/>
    <w:bookmarkEnd w:id="149"/>
    <w:p>
      <w:pPr>
        <w:jc w:val="center"/>
        <w:ind w:right="-14"/>
        <w:spacing w:after="0"/>
        <w:rPr>
          <w:sz w:val="20"/>
          <w:szCs w:val="20"/>
          <w:color w:val="auto"/>
        </w:rPr>
      </w:pPr>
      <w:r>
        <w:rPr>
          <w:rFonts w:ascii="Times New Roman" w:cs="Times New Roman" w:eastAsia="Times New Roman" w:hAnsi="Times New Roman"/>
          <w:sz w:val="17"/>
          <w:szCs w:val="17"/>
          <w:color w:val="auto"/>
        </w:rPr>
        <w:t>- 8 -</w:t>
      </w:r>
    </w:p>
    <w:p>
      <w:pPr>
        <w:spacing w:after="0" w:line="200" w:lineRule="exact"/>
        <w:rPr>
          <w:sz w:val="20"/>
          <w:szCs w:val="20"/>
          <w:color w:val="auto"/>
        </w:rPr>
      </w:pPr>
    </w:p>
    <w:p>
      <w:pPr>
        <w:spacing w:after="0" w:line="328" w:lineRule="exact"/>
        <w:rPr>
          <w:sz w:val="20"/>
          <w:szCs w:val="20"/>
          <w:color w:val="auto"/>
        </w:rPr>
      </w:pPr>
    </w:p>
    <w:p>
      <w:pPr>
        <w:ind w:left="635"/>
        <w:spacing w:after="0"/>
        <w:rPr>
          <w:sz w:val="20"/>
          <w:szCs w:val="20"/>
          <w:color w:val="auto"/>
        </w:rPr>
      </w:pPr>
      <w:r>
        <w:rPr>
          <w:rFonts w:ascii="Times New Roman" w:cs="Times New Roman" w:eastAsia="Times New Roman" w:hAnsi="Times New Roman"/>
          <w:sz w:val="18"/>
          <w:szCs w:val="18"/>
          <w:color w:val="auto"/>
        </w:rPr>
        <w:t>the Expiry Date, and from and after such time, this Warrant Certificate and all rights hereunder will be void.</w:t>
      </w:r>
    </w:p>
    <w:p>
      <w:pPr>
        <w:spacing w:after="0" w:line="198" w:lineRule="exact"/>
        <w:rPr>
          <w:sz w:val="20"/>
          <w:szCs w:val="20"/>
          <w:color w:val="auto"/>
        </w:rPr>
      </w:pPr>
    </w:p>
    <w:p>
      <w:pPr>
        <w:jc w:val="both"/>
        <w:ind w:left="635" w:hanging="635"/>
        <w:spacing w:after="0" w:line="253"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Certificate will be governed by, interpreted and enforced in accordance with the laws of the State of Delaware and the federal laws of the United States applicable therein. The Holder attorns and submits to the non-exclusive jurisdiction of the courts of the State of Delaware with respect to any matters arising out of this Warrant Certificate and waives objection to the venue of any proceeding in such court or that such court provides an inconvenient forum.</w:t>
      </w:r>
    </w:p>
    <w:p>
      <w:pPr>
        <w:spacing w:after="0" w:line="158" w:lineRule="exact"/>
        <w:rPr>
          <w:rFonts w:ascii="Times New Roman" w:cs="Times New Roman" w:eastAsia="Times New Roman" w:hAnsi="Times New Roman"/>
          <w:sz w:val="18"/>
          <w:szCs w:val="18"/>
          <w:color w:val="auto"/>
        </w:rPr>
      </w:pPr>
    </w:p>
    <w:p>
      <w:pPr>
        <w:ind w:left="635" w:hanging="635"/>
        <w:spacing w:after="0" w:line="276"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will be of the essence hereof. If any provision of this Warrant Certificate is deemed by any court of competent jurisdiction to be invalid or void, the remaining provisions shall remain in full force and effect.</w:t>
      </w:r>
    </w:p>
    <w:p>
      <w:pPr>
        <w:spacing w:after="0" w:line="137" w:lineRule="exact"/>
        <w:rPr>
          <w:rFonts w:ascii="Times New Roman" w:cs="Times New Roman" w:eastAsia="Times New Roman" w:hAnsi="Times New Roman"/>
          <w:sz w:val="18"/>
          <w:szCs w:val="18"/>
          <w:color w:val="auto"/>
        </w:rPr>
      </w:pPr>
    </w:p>
    <w:p>
      <w:pPr>
        <w:ind w:left="635" w:hanging="635"/>
        <w:spacing w:after="0"/>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Certificate is not valid for any purpose until it has been signed by the Company.</w:t>
      </w:r>
    </w:p>
    <w:p>
      <w:pPr>
        <w:spacing w:after="0" w:line="19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617220</wp:posOffset>
            </wp:positionV>
            <wp:extent cx="629158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643" w:right="99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0" w:lineRule="exact"/>
        <w:rPr>
          <w:sz w:val="20"/>
          <w:szCs w:val="20"/>
          <w:color w:val="auto"/>
        </w:rPr>
      </w:pPr>
    </w:p>
    <w:p>
      <w:pPr>
        <w:spacing w:after="0" w:line="328" w:lineRule="exact"/>
        <w:rPr>
          <w:sz w:val="20"/>
          <w:szCs w:val="20"/>
          <w:color w:val="auto"/>
        </w:rPr>
      </w:pPr>
    </w:p>
    <w:p>
      <w:pPr>
        <w:ind w:left="20" w:hanging="8"/>
        <w:spacing w:after="0" w:line="276" w:lineRule="auto"/>
        <w:rPr>
          <w:sz w:val="20"/>
          <w:szCs w:val="20"/>
          <w:color w:val="auto"/>
        </w:rPr>
      </w:pPr>
      <w:r>
        <w:rPr>
          <w:rFonts w:ascii="Times New Roman" w:cs="Times New Roman" w:eastAsia="Times New Roman" w:hAnsi="Times New Roman"/>
          <w:sz w:val="18"/>
          <w:szCs w:val="18"/>
          <w:color w:val="auto"/>
        </w:rPr>
        <w:t>IN WITNESS WHEREOF, the Company has caused this Warrant Certificate to be executed by an authorized signatory of the Company as of the 13th day of November, 2025.</w:t>
      </w:r>
    </w:p>
    <w:p>
      <w:pPr>
        <w:spacing w:after="0" w:line="1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22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By: /s/ Simon Irish</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Name: 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-123190</wp:posOffset>
            </wp:positionV>
            <wp:extent cx="30670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473075</wp:posOffset>
            </wp:positionV>
            <wp:extent cx="629158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51" w:name="page152"/>
    <w:bookmarkEnd w:id="151"/>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CASH PAYMENT SUBSCRIPTION FORM</w:t>
      </w:r>
    </w:p>
    <w:p>
      <w:pPr>
        <w:spacing w:after="0" w:line="1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Terrestrial Energy Inc., a Delaware corporation formerly known as “HCM II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And to: </w:t>
      </w:r>
      <w:r>
        <w:rPr>
          <w:rFonts w:ascii="Times New Roman" w:cs="Times New Roman" w:eastAsia="Times New Roman" w:hAnsi="Times New Roman"/>
          <w:sz w:val="18"/>
          <w:szCs w:val="18"/>
          <w:color w:val="auto"/>
        </w:rPr>
        <w:t>The directors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warrant certificate originally issued by Terrestrial Energy Development Inc., a Delaware corporation formerly known as</w:t>
      </w:r>
    </w:p>
    <w:p>
      <w:pPr>
        <w:spacing w:after="0" w:line="22"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“Terrestrial Energy Inc.” (“</w:t>
      </w:r>
      <w:r>
        <w:rPr>
          <w:rFonts w:ascii="Times New Roman" w:cs="Times New Roman" w:eastAsia="Times New Roman" w:hAnsi="Times New Roman"/>
          <w:sz w:val="18"/>
          <w:szCs w:val="18"/>
          <w:b w:val="1"/>
          <w:bCs w:val="1"/>
          <w:color w:val="auto"/>
        </w:rPr>
        <w:t>Legacy Terrestrial Energy</w:t>
      </w:r>
      <w:r>
        <w:rPr>
          <w:rFonts w:ascii="Times New Roman" w:cs="Times New Roman" w:eastAsia="Times New Roman" w:hAnsi="Times New Roman"/>
          <w:sz w:val="18"/>
          <w:szCs w:val="18"/>
          <w:color w:val="auto"/>
        </w:rPr>
        <w:t>”) on</w:t>
      </w:r>
      <w:r>
        <w:rPr>
          <w:sz w:val="20"/>
          <w:szCs w:val="20"/>
          <w:color w:val="auto"/>
        </w:rPr>
        <w:tab/>
      </w:r>
      <w:r>
        <w:rPr>
          <w:rFonts w:ascii="Times New Roman" w:cs="Times New Roman" w:eastAsia="Times New Roman" w:hAnsi="Times New Roman"/>
          <w:sz w:val="18"/>
          <w:szCs w:val="18"/>
          <w:color w:val="auto"/>
        </w:rPr>
        <w:t>, as amended and restated on November 13, 2025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-19050</wp:posOffset>
            </wp:positionV>
            <wp:extent cx="8166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same may be amended, modified or supplemented from time to time,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the undersigned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tbl>
      <w:tblPr>
        <w:tblLayout w:type="fixed"/>
        <w:tblInd w:w="20" w:type="dxa"/>
        <w:tblCellMar>
          <w:top w:w="0" w:type="dxa"/>
          <w:left w:w="0" w:type="dxa"/>
          <w:bottom w:w="0" w:type="dxa"/>
          <w:right w:w="0" w:type="dxa"/>
        </w:tblCellMar>
      </w:tblPr>
      <w:tr>
        <w:trPr>
          <w:trHeight w:val="178"/>
        </w:trPr>
        <w:tc>
          <w:tcPr>
            <w:tcW w:w="42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hereby subscribes for and agrees to take up</w:t>
            </w:r>
          </w:p>
        </w:tc>
        <w:tc>
          <w:tcPr>
            <w:tcW w:w="566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shares of common stock, par value $0.0001 per share in the capital of the</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price</w:t>
            </w:r>
          </w:p>
        </w:tc>
        <w:tc>
          <w:tcPr>
            <w:tcW w:w="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w w:val="98"/>
              </w:rPr>
              <w:t>of $</w:t>
            </w:r>
          </w:p>
        </w:tc>
        <w:tc>
          <w:tcPr>
            <w:tcW w:w="58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per share of Common Stock, for the aggregate sum of $</w:t>
            </w:r>
          </w:p>
        </w:tc>
        <w:tc>
          <w:tcPr>
            <w:tcW w:w="900" w:type="dxa"/>
            <w:vAlign w:val="bottom"/>
            <w:tcBorders>
              <w:bottom w:val="single" w:sz="8" w:color="auto"/>
            </w:tcBorders>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(the</w:t>
            </w:r>
          </w:p>
        </w:tc>
      </w:tr>
    </w:tbl>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Funds</w:t>
      </w:r>
      <w:r>
        <w:rPr>
          <w:rFonts w:ascii="Times New Roman" w:cs="Times New Roman" w:eastAsia="Times New Roman" w:hAnsi="Times New Roman"/>
          <w:sz w:val="18"/>
          <w:szCs w:val="18"/>
          <w:color w:val="auto"/>
        </w:rPr>
        <w:t>”), and agrees to deliver to the Company full payment of the Common Stock in cash either (y) via a wire transfer of immediately available funds to the account(s) designated in writing by the Company or (z) via certified check, bank draft or money order payable to the Company, in each case at the Company’s sole election.</w:t>
      </w:r>
    </w:p>
    <w:p>
      <w:pPr>
        <w:spacing w:after="0" w:line="2" w:lineRule="exact"/>
        <w:rPr>
          <w:sz w:val="20"/>
          <w:szCs w:val="20"/>
          <w:color w:val="auto"/>
        </w:rPr>
      </w:pPr>
    </w:p>
    <w:p>
      <w:pPr>
        <w:jc w:val="both"/>
        <w:ind w:left="20" w:hanging="8"/>
        <w:spacing w:after="0" w:line="247" w:lineRule="auto"/>
        <w:rPr>
          <w:sz w:val="20"/>
          <w:szCs w:val="20"/>
          <w:color w:val="auto"/>
        </w:rPr>
      </w:pPr>
      <w:r>
        <w:rPr>
          <w:rFonts w:ascii="Times New Roman" w:cs="Times New Roman" w:eastAsia="Times New Roman" w:hAnsi="Times New Roman"/>
          <w:sz w:val="18"/>
          <w:szCs w:val="18"/>
          <w:color w:val="auto"/>
        </w:rPr>
        <w:t>In connection with this exercise of warrants pursuant to the Warrant Certificate, the Subscriber represents that the representations set forth in Sections 6 and Section 7 of that certain Subscription Agreement between the Holder and Legacy Terrestrial Energy, as applicable, are true and correct as of the date set forth below.</w:t>
      </w:r>
    </w:p>
    <w:p>
      <w:pPr>
        <w:spacing w:after="0" w:line="137" w:lineRule="exact"/>
        <w:rPr>
          <w:sz w:val="20"/>
          <w:szCs w:val="20"/>
          <w:color w:val="auto"/>
        </w:rPr>
      </w:pPr>
    </w:p>
    <w:p>
      <w:pPr>
        <w:jc w:val="both"/>
        <w:ind w:left="20" w:hanging="8"/>
        <w:spacing w:after="0" w:line="259" w:lineRule="auto"/>
        <w:rPr>
          <w:sz w:val="20"/>
          <w:szCs w:val="20"/>
          <w:color w:val="auto"/>
        </w:rPr>
      </w:pPr>
      <w:r>
        <w:rPr>
          <w:rFonts w:ascii="Times New Roman" w:cs="Times New Roman" w:eastAsia="Times New Roman" w:hAnsi="Times New Roman"/>
          <w:sz w:val="18"/>
          <w:szCs w:val="18"/>
          <w:color w:val="auto"/>
        </w:rPr>
        <w:t>Unless the Company consents in its sole discretion, the Common Stock will be allotted to, issued to, and registered in the name of the Holder of the Warrant Certificate. The Company may require additional documentation and representations to issue the Common Stock to any other person.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hereby requests that upon receipt of the Subscription Funds by the Company:</w:t>
      </w:r>
    </w:p>
    <w:p>
      <w:pPr>
        <w:spacing w:after="0" w:line="159" w:lineRule="exact"/>
        <w:rPr>
          <w:sz w:val="20"/>
          <w:szCs w:val="20"/>
          <w:color w:val="auto"/>
        </w:rPr>
      </w:pPr>
    </w:p>
    <w:p>
      <w:pPr>
        <w:ind w:left="1260" w:hanging="628"/>
        <w:spacing w:after="0"/>
        <w:tabs>
          <w:tab w:leader="none" w:pos="1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be allotted to the person set out under the registration directions shown below;</w:t>
      </w:r>
    </w:p>
    <w:p>
      <w:pPr>
        <w:spacing w:after="0" w:line="17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person set out under the registration directions shown below be entered in the registers of securityholders of the Company;</w:t>
      </w:r>
    </w:p>
    <w:p>
      <w:pPr>
        <w:spacing w:after="0" w:line="11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be issued to the person set out under the registration directions shown as fully paid and validly issued; and</w:t>
      </w:r>
    </w:p>
    <w:p>
      <w:pPr>
        <w:spacing w:after="0" w:line="11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registration of the Common Stock be registered in accordance with the registration directions shown below, as applicable.</w:t>
      </w:r>
    </w:p>
    <w:p>
      <w:pPr>
        <w:spacing w:after="0" w:line="111" w:lineRule="exact"/>
        <w:rPr>
          <w:sz w:val="20"/>
          <w:szCs w:val="20"/>
          <w:color w:val="auto"/>
        </w:rPr>
      </w:pPr>
    </w:p>
    <w:p>
      <w:pPr>
        <w:spacing w:after="0"/>
        <w:tabs>
          <w:tab w:leader="none" w:pos="1640" w:val="left"/>
          <w:tab w:leader="none" w:pos="3300" w:val="left"/>
          <w:tab w:leader="none" w:pos="4440" w:val="left"/>
        </w:tabs>
        <w:rPr>
          <w:sz w:val="20"/>
          <w:szCs w:val="20"/>
          <w:color w:val="auto"/>
        </w:rPr>
      </w:pPr>
      <w:r>
        <w:rPr>
          <w:rFonts w:ascii="Times New Roman" w:cs="Times New Roman" w:eastAsia="Times New Roman" w:hAnsi="Times New Roman"/>
          <w:sz w:val="18"/>
          <w:szCs w:val="18"/>
          <w:color w:val="auto"/>
        </w:rPr>
        <w:t>Dated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-6350</wp:posOffset>
            </wp:positionV>
            <wp:extent cx="23241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DIRECTION AS TO REGISTRATION:</w:t>
      </w:r>
    </w:p>
    <w:p>
      <w:pPr>
        <w:spacing w:after="0" w:line="159" w:lineRule="exact"/>
        <w:rPr>
          <w:sz w:val="20"/>
          <w:szCs w:val="20"/>
          <w:color w:val="auto"/>
        </w:rPr>
      </w:pPr>
    </w:p>
    <w:p>
      <w:pPr>
        <w:ind w:left="20" w:hanging="8"/>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(Name and address </w:t>
      </w:r>
      <w:r>
        <w:rPr>
          <w:rFonts w:ascii="Times New Roman" w:cs="Times New Roman" w:eastAsia="Times New Roman" w:hAnsi="Times New Roman"/>
          <w:sz w:val="18"/>
          <w:szCs w:val="18"/>
          <w:b w:val="1"/>
          <w:bCs w:val="1"/>
          <w:u w:val="single" w:color="auto"/>
          <w:color w:val="auto"/>
        </w:rPr>
        <w:t>exactly</w:t>
      </w:r>
      <w:r>
        <w:rPr>
          <w:rFonts w:ascii="Times New Roman" w:cs="Times New Roman" w:eastAsia="Times New Roman" w:hAnsi="Times New Roman"/>
          <w:sz w:val="18"/>
          <w:szCs w:val="18"/>
          <w:b w:val="1"/>
          <w:bCs w:val="1"/>
          <w:color w:val="auto"/>
        </w:rPr>
        <w:t xml:space="preserve"> as you wish them to appear on the book-entry registration representing the Common Stock and in the register of securityholders.)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Full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1078865</wp:posOffset>
            </wp:positionV>
            <wp:extent cx="629158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6291580" cy="16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291465</wp:posOffset>
            </wp:positionV>
            <wp:extent cx="6283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150495</wp:posOffset>
            </wp:positionV>
            <wp:extent cx="6283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17780</wp:posOffset>
            </wp:positionV>
            <wp:extent cx="56114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5611495" cy="8255"/>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Full Name (subject to Company consent if different from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20320</wp:posOffset>
            </wp:positionV>
            <wp:extent cx="3050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20320</wp:posOffset>
            </wp:positionV>
            <wp:extent cx="52057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pacing w:after="0" w:line="203" w:lineRule="exact"/>
        <w:rPr>
          <w:sz w:val="20"/>
          <w:szCs w:val="20"/>
          <w:color w:val="auto"/>
        </w:rPr>
      </w:pPr>
    </w:p>
    <w:p>
      <w:pPr>
        <w:ind w:left="20" w:hanging="8"/>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signature to this Subscription Form must correspond with the name as recorded on the Warrant Certificate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Subscription Form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830580</wp:posOffset>
            </wp:positionV>
            <wp:extent cx="629158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865" w:right="999" w:bottom="1440" w:gutter="0" w:footer="0" w:header="0"/>
        </w:sectPr>
      </w:pPr>
    </w:p>
    <w:bookmarkStart w:id="153" w:name="page154"/>
    <w:bookmarkEnd w:id="153"/>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CASHLESS SUBSCRIPTION FORM</w:t>
      </w:r>
    </w:p>
    <w:p>
      <w:pPr>
        <w:spacing w:after="0" w:line="1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7"/>
          <w:szCs w:val="17"/>
          <w:color w:val="auto"/>
        </w:rPr>
        <w:t>Terrestrial Energy Inc., a Delaware corporation formerly known as “HCM II Acquisition Corp.”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And to: </w:t>
      </w:r>
      <w:r>
        <w:rPr>
          <w:rFonts w:ascii="Times New Roman" w:cs="Times New Roman" w:eastAsia="Times New Roman" w:hAnsi="Times New Roman"/>
          <w:sz w:val="17"/>
          <w:szCs w:val="17"/>
          <w:color w:val="auto"/>
        </w:rPr>
        <w:t>The directors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warrant certificate originally issued by Terrestrial Energy Development Inc., a Delaware corporation formerly known as</w:t>
      </w:r>
    </w:p>
    <w:p>
      <w:pPr>
        <w:spacing w:after="0" w:line="22" w:lineRule="exact"/>
        <w:rPr>
          <w:sz w:val="20"/>
          <w:szCs w:val="20"/>
          <w:color w:val="auto"/>
        </w:rPr>
      </w:pPr>
    </w:p>
    <w:p>
      <w:pPr>
        <w:ind w:left="20"/>
        <w:spacing w:after="0"/>
        <w:tabs>
          <w:tab w:leader="none" w:pos="5980" w:val="left"/>
        </w:tabs>
        <w:rPr>
          <w:sz w:val="20"/>
          <w:szCs w:val="20"/>
          <w:color w:val="auto"/>
        </w:rPr>
      </w:pPr>
      <w:r>
        <w:rPr>
          <w:rFonts w:ascii="Times New Roman" w:cs="Times New Roman" w:eastAsia="Times New Roman" w:hAnsi="Times New Roman"/>
          <w:sz w:val="18"/>
          <w:szCs w:val="18"/>
          <w:color w:val="auto"/>
        </w:rPr>
        <w:t>“Terrestrial Energy Inc.” (“</w:t>
      </w:r>
      <w:r>
        <w:rPr>
          <w:rFonts w:ascii="Times New Roman" w:cs="Times New Roman" w:eastAsia="Times New Roman" w:hAnsi="Times New Roman"/>
          <w:sz w:val="18"/>
          <w:szCs w:val="18"/>
          <w:b w:val="1"/>
          <w:bCs w:val="1"/>
          <w:color w:val="auto"/>
        </w:rPr>
        <w:t>Legacy Terrestrial Energy</w:t>
      </w:r>
      <w:r>
        <w:rPr>
          <w:rFonts w:ascii="Times New Roman" w:cs="Times New Roman" w:eastAsia="Times New Roman" w:hAnsi="Times New Roman"/>
          <w:sz w:val="18"/>
          <w:szCs w:val="18"/>
          <w:color w:val="auto"/>
        </w:rPr>
        <w:t>”) on</w:t>
      </w:r>
      <w:r>
        <w:rPr>
          <w:sz w:val="20"/>
          <w:szCs w:val="20"/>
          <w:color w:val="auto"/>
        </w:rPr>
        <w:tab/>
      </w:r>
      <w:r>
        <w:rPr>
          <w:rFonts w:ascii="Times New Roman" w:cs="Times New Roman" w:eastAsia="Times New Roman" w:hAnsi="Times New Roman"/>
          <w:sz w:val="18"/>
          <w:szCs w:val="18"/>
          <w:color w:val="auto"/>
        </w:rPr>
        <w:t>, as amended and restated on November 13, 2025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-19050</wp:posOffset>
            </wp:positionV>
            <wp:extent cx="957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the same may be amended, modified or supplemented,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the undersigned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hereby</w:t>
      </w:r>
    </w:p>
    <w:p>
      <w:pPr>
        <w:spacing w:after="0" w:line="2"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exercises the right to purchase and hereby subscribes for and agrees to take up</w:t>
      </w:r>
      <w:r>
        <w:rPr>
          <w:sz w:val="20"/>
          <w:szCs w:val="20"/>
          <w:color w:val="auto"/>
        </w:rPr>
        <w:tab/>
      </w:r>
      <w:r>
        <w:rPr>
          <w:rFonts w:ascii="Times New Roman" w:cs="Times New Roman" w:eastAsia="Times New Roman" w:hAnsi="Times New Roman"/>
          <w:sz w:val="18"/>
          <w:szCs w:val="18"/>
          <w:color w:val="auto"/>
        </w:rPr>
        <w:t>shares of common stock in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-19050</wp:posOffset>
            </wp:positionV>
            <wp:extent cx="8413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a cashless basis pursuant to Section 4 of the Warrant Certificate, as calculated in accordance with the formula set out in Section 4(2) of the Warrant Certificate.</w:t>
      </w:r>
    </w:p>
    <w:p>
      <w:pPr>
        <w:spacing w:after="0" w:line="170" w:lineRule="exact"/>
        <w:rPr>
          <w:sz w:val="20"/>
          <w:szCs w:val="20"/>
          <w:color w:val="auto"/>
        </w:rPr>
      </w:pPr>
    </w:p>
    <w:p>
      <w:pPr>
        <w:jc w:val="both"/>
        <w:ind w:left="20" w:hanging="8"/>
        <w:spacing w:after="0" w:line="259" w:lineRule="auto"/>
        <w:rPr>
          <w:sz w:val="20"/>
          <w:szCs w:val="20"/>
          <w:color w:val="auto"/>
        </w:rPr>
      </w:pPr>
      <w:r>
        <w:rPr>
          <w:rFonts w:ascii="Times New Roman" w:cs="Times New Roman" w:eastAsia="Times New Roman" w:hAnsi="Times New Roman"/>
          <w:sz w:val="18"/>
          <w:szCs w:val="18"/>
          <w:color w:val="auto"/>
        </w:rPr>
        <w:t>In connection with this exercise of warrants pursuant to the Warrant Certificate, the Subscriber represents that the representations set forth in Sections 6 and Section 7 of that certain Subscription Agreement between the Holder and Legacy Terrestrial Energy, as applicable, are true and correct as of the date set forth below.</w:t>
      </w:r>
    </w:p>
    <w:p>
      <w:pPr>
        <w:spacing w:after="0" w:line="113" w:lineRule="exact"/>
        <w:rPr>
          <w:sz w:val="20"/>
          <w:szCs w:val="20"/>
          <w:color w:val="auto"/>
        </w:rPr>
      </w:pPr>
    </w:p>
    <w:p>
      <w:pPr>
        <w:jc w:val="both"/>
        <w:ind w:left="20" w:hanging="8"/>
        <w:spacing w:after="0" w:line="259" w:lineRule="auto"/>
        <w:rPr>
          <w:sz w:val="20"/>
          <w:szCs w:val="20"/>
          <w:color w:val="auto"/>
        </w:rPr>
      </w:pPr>
      <w:r>
        <w:rPr>
          <w:rFonts w:ascii="Times New Roman" w:cs="Times New Roman" w:eastAsia="Times New Roman" w:hAnsi="Times New Roman"/>
          <w:sz w:val="18"/>
          <w:szCs w:val="18"/>
          <w:color w:val="auto"/>
        </w:rPr>
        <w:t>Unless the Company consents in its sole discretion, the Common Stock will be allotted to, issued to, and registered in the name of the Holder of the Warrant Certificate. The Company may require additional documentation and representations to issue the Common Stock to any other person.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hereby requests that upon receipt of the Subscription Funds by the Company:</w:t>
      </w:r>
    </w:p>
    <w:p>
      <w:pPr>
        <w:spacing w:after="0" w:line="172" w:lineRule="exact"/>
        <w:rPr>
          <w:sz w:val="20"/>
          <w:szCs w:val="20"/>
          <w:color w:val="auto"/>
        </w:rPr>
      </w:pPr>
    </w:p>
    <w:p>
      <w:pPr>
        <w:ind w:left="1260" w:hanging="628"/>
        <w:spacing w:after="0"/>
        <w:tabs>
          <w:tab w:leader="none" w:pos="1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be allotted to the person set out under the registration directions shown below;</w:t>
      </w:r>
    </w:p>
    <w:p>
      <w:pPr>
        <w:spacing w:after="0" w:line="17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person set out under the registration directions shown below be entered in the registers of securityholders of the Company;</w:t>
      </w:r>
    </w:p>
    <w:p>
      <w:pPr>
        <w:spacing w:after="0" w:line="11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be issued to the person set out under the registration directions shown as fully paid and validly issued; and</w:t>
      </w:r>
    </w:p>
    <w:p>
      <w:pPr>
        <w:spacing w:after="0" w:line="111" w:lineRule="exact"/>
        <w:rPr>
          <w:rFonts w:ascii="Times New Roman" w:cs="Times New Roman" w:eastAsia="Times New Roman" w:hAnsi="Times New Roman"/>
          <w:sz w:val="18"/>
          <w:szCs w:val="18"/>
          <w:color w:val="auto"/>
        </w:rPr>
      </w:pPr>
    </w:p>
    <w:p>
      <w:pPr>
        <w:ind w:left="1260" w:right="20" w:hanging="628"/>
        <w:spacing w:after="0" w:line="276" w:lineRule="auto"/>
        <w:tabs>
          <w:tab w:leader="none" w:pos="1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book-entry registration of the Common Stock be registered in accordance with the registration directions shown below, as applicable.</w:t>
      </w:r>
    </w:p>
    <w:p>
      <w:pPr>
        <w:spacing w:after="0" w:line="111" w:lineRule="exact"/>
        <w:rPr>
          <w:sz w:val="20"/>
          <w:szCs w:val="20"/>
          <w:color w:val="auto"/>
        </w:rPr>
      </w:pPr>
    </w:p>
    <w:p>
      <w:pPr>
        <w:spacing w:after="0"/>
        <w:tabs>
          <w:tab w:leader="none" w:pos="1560" w:val="left"/>
          <w:tab w:leader="none" w:pos="3020" w:val="left"/>
          <w:tab w:leader="none" w:pos="4020" w:val="left"/>
        </w:tabs>
        <w:rPr>
          <w:sz w:val="20"/>
          <w:szCs w:val="20"/>
          <w:color w:val="auto"/>
        </w:rPr>
      </w:pPr>
      <w:r>
        <w:rPr>
          <w:rFonts w:ascii="Times New Roman" w:cs="Times New Roman" w:eastAsia="Times New Roman" w:hAnsi="Times New Roman"/>
          <w:sz w:val="18"/>
          <w:szCs w:val="18"/>
          <w:color w:val="auto"/>
        </w:rPr>
        <w:t>Dated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-6350</wp:posOffset>
            </wp:positionV>
            <wp:extent cx="2063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206311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DIRECTION AS TO REGISTRATION:</w:t>
      </w:r>
    </w:p>
    <w:p>
      <w:pPr>
        <w:spacing w:after="0" w:line="159" w:lineRule="exact"/>
        <w:rPr>
          <w:sz w:val="20"/>
          <w:szCs w:val="20"/>
          <w:color w:val="auto"/>
        </w:rPr>
      </w:pPr>
    </w:p>
    <w:p>
      <w:pPr>
        <w:ind w:left="20" w:hanging="8"/>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(Name and address </w:t>
      </w:r>
      <w:r>
        <w:rPr>
          <w:rFonts w:ascii="Times New Roman" w:cs="Times New Roman" w:eastAsia="Times New Roman" w:hAnsi="Times New Roman"/>
          <w:sz w:val="18"/>
          <w:szCs w:val="18"/>
          <w:b w:val="1"/>
          <w:bCs w:val="1"/>
          <w:u w:val="single" w:color="auto"/>
          <w:color w:val="auto"/>
        </w:rPr>
        <w:t>exactly</w:t>
      </w:r>
      <w:r>
        <w:rPr>
          <w:rFonts w:ascii="Times New Roman" w:cs="Times New Roman" w:eastAsia="Times New Roman" w:hAnsi="Times New Roman"/>
          <w:sz w:val="18"/>
          <w:szCs w:val="18"/>
          <w:b w:val="1"/>
          <w:bCs w:val="1"/>
          <w:color w:val="auto"/>
        </w:rPr>
        <w:t xml:space="preserve"> as you wish them to appear on the book-entry registration representing the Common Stock and in the register of securityholders.)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Full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291465</wp:posOffset>
            </wp:positionV>
            <wp:extent cx="6283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150495</wp:posOffset>
            </wp:positionV>
            <wp:extent cx="6283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17780</wp:posOffset>
            </wp:positionV>
            <wp:extent cx="56114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5611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 Name (subject to Company consent if different from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20320</wp:posOffset>
            </wp:positionV>
            <wp:extent cx="3050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305054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625475</wp:posOffset>
            </wp:positionV>
            <wp:extent cx="6291580"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6291580" cy="24765"/>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20320</wp:posOffset>
            </wp:positionV>
            <wp:extent cx="52057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54" w:name="page155"/>
    <w:bookmarkEnd w:id="154"/>
    <w:p>
      <w:pPr>
        <w:ind w:hanging="8"/>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signature to this Subscription Form must correspond with the name as recorded on the Warrant Certificate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Subscription Form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1580"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00"/>
          </w:cols>
          <w:pgMar w:left="1000" w:top="840"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EMPLOYEE FORM</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errestrial</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nergy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w:t>
      </w:r>
      <w:r>
        <w:rPr>
          <w:rFonts w:ascii="Times New Roman" w:cs="Times New Roman" w:eastAsia="Times New Roman" w:hAnsi="Times New Roman"/>
          <w:sz w:val="11"/>
          <w:szCs w:val="11"/>
          <w:b w:val="1"/>
          <w:bCs w:val="1"/>
          <w:color w:val="auto"/>
        </w:rPr>
        <w:t>quity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w:t>
      </w:r>
      <w:r>
        <w:rPr>
          <w:rFonts w:ascii="Times New Roman" w:cs="Times New Roman" w:eastAsia="Times New Roman" w:hAnsi="Times New Roman"/>
          <w:sz w:val="11"/>
          <w:szCs w:val="11"/>
          <w:u w:val="single" w:color="auto"/>
          <w:color w:val="auto"/>
        </w:rPr>
        <w:t>otice of</w:t>
      </w:r>
      <w:r>
        <w:rPr>
          <w:rFonts w:ascii="Times New Roman" w:cs="Times New Roman" w:eastAsia="Times New Roman" w:hAnsi="Times New Roman"/>
          <w:sz w:val="17"/>
          <w:szCs w:val="17"/>
          <w:u w:val="single" w:color="auto"/>
          <w:color w:val="auto"/>
        </w:rPr>
        <w:t xml:space="preserve"> R</w:t>
      </w:r>
      <w:r>
        <w:rPr>
          <w:rFonts w:ascii="Times New Roman" w:cs="Times New Roman" w:eastAsia="Times New Roman" w:hAnsi="Times New Roman"/>
          <w:sz w:val="11"/>
          <w:szCs w:val="11"/>
          <w:u w:val="single" w:color="auto"/>
          <w:color w:val="auto"/>
        </w:rPr>
        <w:t>estricted</w:t>
      </w:r>
      <w:r>
        <w:rPr>
          <w:rFonts w:ascii="Times New Roman" w:cs="Times New Roman" w:eastAsia="Times New Roman" w:hAnsi="Times New Roman"/>
          <w:sz w:val="17"/>
          <w:szCs w:val="17"/>
          <w:u w:val="single" w:color="auto"/>
          <w:color w:val="auto"/>
        </w:rPr>
        <w:t xml:space="preserve"> S</w:t>
      </w:r>
      <w:r>
        <w:rPr>
          <w:rFonts w:ascii="Times New Roman" w:cs="Times New Roman" w:eastAsia="Times New Roman" w:hAnsi="Times New Roman"/>
          <w:sz w:val="11"/>
          <w:szCs w:val="11"/>
          <w:u w:val="single" w:color="auto"/>
          <w:color w:val="auto"/>
        </w:rPr>
        <w:t>tock</w:t>
      </w:r>
      <w:r>
        <w:rPr>
          <w:rFonts w:ascii="Times New Roman" w:cs="Times New Roman" w:eastAsia="Times New Roman" w:hAnsi="Times New Roman"/>
          <w:sz w:val="17"/>
          <w:szCs w:val="17"/>
          <w:u w:val="single" w:color="auto"/>
          <w:color w:val="auto"/>
        </w:rPr>
        <w:t xml:space="preserve"> U</w:t>
      </w:r>
      <w:r>
        <w:rPr>
          <w:rFonts w:ascii="Times New Roman" w:cs="Times New Roman" w:eastAsia="Times New Roman" w:hAnsi="Times New Roman"/>
          <w:sz w:val="11"/>
          <w:szCs w:val="11"/>
          <w:u w:val="single" w:color="auto"/>
          <w:color w:val="auto"/>
        </w:rPr>
        <w:t>nit</w:t>
      </w:r>
      <w:r>
        <w:rPr>
          <w:rFonts w:ascii="Times New Roman" w:cs="Times New Roman" w:eastAsia="Times New Roman" w:hAnsi="Times New Roman"/>
          <w:sz w:val="17"/>
          <w:szCs w:val="17"/>
          <w:u w:val="single" w:color="auto"/>
          <w:color w:val="auto"/>
        </w:rPr>
        <w:t xml:space="preserve"> A</w:t>
      </w:r>
      <w:r>
        <w:rPr>
          <w:rFonts w:ascii="Times New Roman" w:cs="Times New Roman" w:eastAsia="Times New Roman" w:hAnsi="Times New Roman"/>
          <w:sz w:val="11"/>
          <w:szCs w:val="11"/>
          <w:u w:val="single" w:color="auto"/>
          <w:color w:val="auto"/>
        </w:rPr>
        <w:t>ward</w:t>
      </w:r>
    </w:p>
    <w:p>
      <w:pPr>
        <w:spacing w:after="0" w:line="200" w:lineRule="exact"/>
        <w:rPr>
          <w:sz w:val="20"/>
          <w:szCs w:val="20"/>
          <w:color w:val="auto"/>
        </w:rPr>
      </w:pPr>
    </w:p>
    <w:p>
      <w:pPr>
        <w:jc w:val="both"/>
        <w:ind w:firstLine="627"/>
        <w:spacing w:after="0" w:line="269" w:lineRule="auto"/>
        <w:rPr>
          <w:sz w:val="20"/>
          <w:szCs w:val="20"/>
          <w:color w:val="auto"/>
        </w:rPr>
      </w:pPr>
      <w:r>
        <w:rPr>
          <w:rFonts w:ascii="Times New Roman" w:cs="Times New Roman" w:eastAsia="Times New Roman" w:hAnsi="Times New Roman"/>
          <w:sz w:val="17"/>
          <w:szCs w:val="17"/>
          <w:color w:val="auto"/>
        </w:rPr>
        <w:t>The Participant is hereby provided this Notice of Restricted Stock Unit Award (this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under the Terrestrial Energy Inc. 2025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represents the right to receive a Share, its cash equivalent, or a combination thereof, each of which is subject to certain restrictions. All capitalized terms in this Notice shall have the meaning assigned to them in this Notice or in the attached Restricted Stock Unit Agreement, which is incorporated herein by reference, or, if not defined herein or therein, in the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[__]</w:t>
            </w: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[__]</w:t>
            </w: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Restricted Stock Units</w:t>
            </w: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[__]</w:t>
            </w:r>
          </w:p>
        </w:tc>
      </w:tr>
    </w:tbl>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 All of the Restricted Stock Units are nonvested and forfeitable as of the Grant Date. So long as the Participant provides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continuous Service from the Grant Date through the applicable date upon which vesting is scheduled to occur, ______________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 will vest on ______________ (the “</w:t>
      </w:r>
      <w:r>
        <w:rPr>
          <w:rFonts w:ascii="Times New Roman" w:cs="Times New Roman" w:eastAsia="Times New Roman" w:hAnsi="Times New Roman"/>
          <w:sz w:val="17"/>
          <w:szCs w:val="17"/>
          <w:b w:val="1"/>
          <w:bCs w:val="1"/>
          <w:i w:val="1"/>
          <w:iCs w:val="1"/>
          <w:color w:val="auto"/>
        </w:rPr>
        <w:t>Initial Vesting Date</w:t>
      </w:r>
      <w:r>
        <w:rPr>
          <w:rFonts w:ascii="Times New Roman" w:cs="Times New Roman" w:eastAsia="Times New Roman" w:hAnsi="Times New Roman"/>
          <w:sz w:val="17"/>
          <w:szCs w:val="17"/>
          <w:color w:val="auto"/>
        </w:rPr>
        <w:t>”) and as to an additional _______ of the original number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 at the end of each successive ___________ period following the Initial Vesting Date such that 100% of the Restricted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Units will be vested on _______________.</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foregoing vesting schedule notwithstanding, (i) if the Participant’s Service terminates for any reason at any time before all of his or her Restricted Stock Units have vested, the Participant’s unvested Restricted Stock Units shall be automatically forfeited upon such termination of Service and neither the Company nor any Affiliate shall have any further obligations to the Participant under this Notice or the Restricted Stock Unit Agreement, (ii) if the Participant is party to another agreement with the Company or an Affiliate that provides for accelerated vesting in certain circumstances, vesting will accelerate in accordance with the terms of such agreement. If any vesting date occurs during a special closed window under the Company’s Insider Trading Policy, then the Restricted Stock Units shall vest on the first trading day of the next open trading window pursuant to the Company’s Insider Trading Policy, subject in all cases to any applicable outside dates that are required to ensure compliance with applicable tax laws and the terms of the Plan.</w:t>
      </w:r>
    </w:p>
    <w:p>
      <w:pPr>
        <w:spacing w:after="0" w:line="1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Participant hereby acknowledges and agrees that (a) the Company has made available to the Participant a copy of the Plan and (b) the Participant has had the opportunity to review the Plan and this Notice, including the attached Restricted Stock Unit Agreement, and to consult with the Participant’s individual tax advisor and/or legal counsel with respect to the same.</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Participant understands and agrees that the Award is granted subject to and in accordance with the terms of the Plan. By executing this Notice, the Participant further agrees to be bound by the terms of the Plan and the terms of the Award as set forth in the Restricted Stock Unit Agreement attached hereto. As of the Grant Date, this Notice, the attached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513080</wp:posOffset>
            </wp:positionV>
            <wp:extent cx="629158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6" w:name="page157"/>
    <w:bookmarkEnd w:id="156"/>
    <w:p>
      <w:pPr>
        <w:jc w:val="both"/>
        <w:spacing w:after="0" w:line="261" w:lineRule="auto"/>
        <w:rPr>
          <w:sz w:val="20"/>
          <w:szCs w:val="20"/>
          <w:color w:val="auto"/>
        </w:rPr>
      </w:pPr>
      <w:r>
        <w:rPr>
          <w:rFonts w:ascii="Times New Roman" w:cs="Times New Roman" w:eastAsia="Times New Roman" w:hAnsi="Times New Roman"/>
          <w:sz w:val="17"/>
          <w:szCs w:val="17"/>
          <w:color w:val="auto"/>
        </w:rPr>
        <w:t>and the Plan set forth the entire understanding between the Participant and the Company regarding the Restricted Stock Units and supersede all prior oral and written agreements with respect to the Award. The Participant acknowledges that there may be adverse tax consequences upon settlement of the Award or disposition of the underlying Shares and that the Participant should consult a tax advisor prior to such settlement or disposition. By accepting this Award, the Participant consents to receive documents governing the Award by electronic delivery and to participate in the Plan through an online or electronic system established and maintained by the Company or another third party designated by the Company from time to time. This Notice may be executed in counterparts, each of which shall be deemed an original but all of which together will constitute one and the same instrument. Counterpart signature pages to this Notice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Terrestrial Energy Inc.</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Participant</w:t>
            </w:r>
          </w:p>
        </w:tc>
      </w:tr>
      <w:tr>
        <w:trPr>
          <w:trHeight w:val="418"/>
        </w:trPr>
        <w:tc>
          <w:tcPr>
            <w:tcW w:w="2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By:</w:t>
            </w:r>
          </w:p>
        </w:tc>
        <w:tc>
          <w:tcPr>
            <w:tcW w:w="4080" w:type="dxa"/>
            <w:vAlign w:val="bottom"/>
            <w:tcBorders>
              <w:bottom w:val="single" w:sz="8" w:color="auto"/>
            </w:tcBorders>
          </w:tcPr>
          <w:p>
            <w:pPr>
              <w:spacing w:after="0"/>
              <w:rPr>
                <w:sz w:val="24"/>
                <w:szCs w:val="24"/>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By:</w:t>
            </w:r>
          </w:p>
        </w:tc>
        <w:tc>
          <w:tcPr>
            <w:tcW w:w="4360" w:type="dxa"/>
            <w:vAlign w:val="bottom"/>
            <w:tcBorders>
              <w:bottom w:val="single" w:sz="8" w:color="auto"/>
            </w:tcBorders>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470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7"/>
                <w:szCs w:val="17"/>
                <w:color w:val="auto"/>
              </w:rPr>
              <w:t>Name:</w:t>
            </w:r>
          </w:p>
        </w:tc>
        <w:tc>
          <w:tcPr>
            <w:tcW w:w="5200" w:type="dxa"/>
            <w:vAlign w:val="bottom"/>
            <w:gridSpan w:val="2"/>
          </w:tcPr>
          <w:p>
            <w:pPr>
              <w:ind w:left="560"/>
              <w:spacing w:after="0" w:line="184" w:lineRule="exact"/>
              <w:rPr>
                <w:sz w:val="20"/>
                <w:szCs w:val="20"/>
                <w:color w:val="auto"/>
              </w:rPr>
            </w:pPr>
            <w:r>
              <w:rPr>
                <w:rFonts w:ascii="Times New Roman" w:cs="Times New Roman" w:eastAsia="Times New Roman" w:hAnsi="Times New Roman"/>
                <w:sz w:val="17"/>
                <w:szCs w:val="17"/>
                <w:color w:val="auto"/>
              </w:rPr>
              <w:t>Name: [__]</w:t>
            </w:r>
          </w:p>
        </w:tc>
      </w:tr>
      <w:tr>
        <w:trPr>
          <w:trHeight w:val="209"/>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Title:</w:t>
            </w:r>
          </w:p>
        </w:tc>
        <w:tc>
          <w:tcPr>
            <w:tcW w:w="52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Date: [__]</w:t>
            </w:r>
          </w:p>
        </w:tc>
      </w:tr>
      <w:tr>
        <w:trPr>
          <w:trHeight w:val="227"/>
        </w:trPr>
        <w:tc>
          <w:tcPr>
            <w:tcW w:w="20" w:type="dxa"/>
            <w:vAlign w:val="bottom"/>
          </w:tcPr>
          <w:p>
            <w:pPr>
              <w:spacing w:after="0"/>
              <w:rPr>
                <w:sz w:val="19"/>
                <w:szCs w:val="19"/>
                <w:color w:val="auto"/>
              </w:rPr>
            </w:pPr>
          </w:p>
        </w:tc>
        <w:tc>
          <w:tcPr>
            <w:tcW w:w="4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Date: [__]</w:t>
            </w:r>
          </w:p>
        </w:tc>
        <w:tc>
          <w:tcPr>
            <w:tcW w:w="84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95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57" w:name="page158"/>
    <w:bookmarkEnd w:id="157"/>
    <w:p>
      <w:pPr>
        <w:ind w:left="40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errestrial</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nergy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2025 E</w:t>
      </w:r>
      <w:r>
        <w:rPr>
          <w:rFonts w:ascii="Times New Roman" w:cs="Times New Roman" w:eastAsia="Times New Roman" w:hAnsi="Times New Roman"/>
          <w:sz w:val="11"/>
          <w:szCs w:val="11"/>
          <w:b w:val="1"/>
          <w:bCs w:val="1"/>
          <w:color w:val="auto"/>
        </w:rPr>
        <w:t>quity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u w:val="single" w:color="auto"/>
          <w:color w:val="auto"/>
        </w:rPr>
        <w:t>R</w:t>
      </w:r>
      <w:r>
        <w:rPr>
          <w:rFonts w:ascii="Times New Roman" w:cs="Times New Roman" w:eastAsia="Times New Roman" w:hAnsi="Times New Roman"/>
          <w:sz w:val="11"/>
          <w:szCs w:val="11"/>
          <w:u w:val="single" w:color="auto"/>
          <w:color w:val="auto"/>
        </w:rPr>
        <w:t>estricted</w:t>
      </w:r>
      <w:r>
        <w:rPr>
          <w:rFonts w:ascii="Times New Roman" w:cs="Times New Roman" w:eastAsia="Times New Roman" w:hAnsi="Times New Roman"/>
          <w:sz w:val="17"/>
          <w:szCs w:val="17"/>
          <w:u w:val="single" w:color="auto"/>
          <w:color w:val="auto"/>
        </w:rPr>
        <w:t xml:space="preserve"> S</w:t>
      </w:r>
      <w:r>
        <w:rPr>
          <w:rFonts w:ascii="Times New Roman" w:cs="Times New Roman" w:eastAsia="Times New Roman" w:hAnsi="Times New Roman"/>
          <w:sz w:val="11"/>
          <w:szCs w:val="11"/>
          <w:u w:val="single" w:color="auto"/>
          <w:color w:val="auto"/>
        </w:rPr>
        <w:t>tock</w:t>
      </w:r>
      <w:r>
        <w:rPr>
          <w:rFonts w:ascii="Times New Roman" w:cs="Times New Roman" w:eastAsia="Times New Roman" w:hAnsi="Times New Roman"/>
          <w:sz w:val="17"/>
          <w:szCs w:val="17"/>
          <w:u w:val="single" w:color="auto"/>
          <w:color w:val="auto"/>
        </w:rPr>
        <w:t xml:space="preserve"> U</w:t>
      </w:r>
      <w:r>
        <w:rPr>
          <w:rFonts w:ascii="Times New Roman" w:cs="Times New Roman" w:eastAsia="Times New Roman" w:hAnsi="Times New Roman"/>
          <w:sz w:val="11"/>
          <w:szCs w:val="11"/>
          <w:u w:val="single" w:color="auto"/>
          <w:color w:val="auto"/>
        </w:rPr>
        <w:t>nit</w:t>
      </w:r>
      <w:r>
        <w:rPr>
          <w:rFonts w:ascii="Times New Roman" w:cs="Times New Roman" w:eastAsia="Times New Roman" w:hAnsi="Times New Roman"/>
          <w:sz w:val="17"/>
          <w:szCs w:val="17"/>
          <w:u w:val="single" w:color="auto"/>
          <w:color w:val="auto"/>
        </w:rPr>
        <w:t xml:space="preserve"> A</w:t>
      </w:r>
      <w:r>
        <w:rPr>
          <w:rFonts w:ascii="Times New Roman" w:cs="Times New Roman" w:eastAsia="Times New Roman" w:hAnsi="Times New Roman"/>
          <w:sz w:val="11"/>
          <w:szCs w:val="11"/>
          <w:u w:val="single" w:color="auto"/>
          <w:color w:val="auto"/>
        </w:rPr>
        <w:t>greement</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Terrestrial Energy Inc., a Delaware corporation formerly known as “HCM II Acquisition Corp.”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awarded the Participant set forth in the Notice of Restricted Stock Unit Award (the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a Restricted Stock Unit Award (the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that is subject to the Company’s 2025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the Notice, and this Restricted Stock Unit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for the number of Restricted Stock Units indicated in the Notice. Capitalized terms not explicitly defined in this Agreement or in the Notice but defined in the Plan will have the same definitions as in the Plan. In the event of any conflict between the terms in this Agreement and the Plan, the terms of the Plan will control. This Agreement will be deemed to be signed by the Participant on the signing by the Participant of the Notice to which it is attached.</w:t>
      </w:r>
    </w:p>
    <w:p>
      <w:pPr>
        <w:spacing w:after="0" w:line="385" w:lineRule="exact"/>
        <w:rPr>
          <w:sz w:val="20"/>
          <w:szCs w:val="20"/>
          <w:color w:val="auto"/>
        </w:rPr>
      </w:pPr>
    </w:p>
    <w:p>
      <w:pPr>
        <w:jc w:val="both"/>
        <w:ind w:firstLine="380"/>
        <w:spacing w:after="0" w:line="275" w:lineRule="auto"/>
        <w:tabs>
          <w:tab w:leader="none" w:pos="87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The Company hereby issues to the Participant on the Grant Date an Award for the number of Restricted Stock Units set forth in the Notice. Each Restricted Stock Unit represents the right to receive one Share on settlement, subject to the terms and conditions set forth in this Agreement and the Plan.</w:t>
      </w:r>
    </w:p>
    <w:p>
      <w:pPr>
        <w:spacing w:after="0" w:line="163" w:lineRule="exact"/>
        <w:rPr>
          <w:rFonts w:ascii="Times New Roman" w:cs="Times New Roman" w:eastAsia="Times New Roman" w:hAnsi="Times New Roman"/>
          <w:sz w:val="17"/>
          <w:szCs w:val="17"/>
          <w:color w:val="auto"/>
        </w:rPr>
      </w:pPr>
    </w:p>
    <w:p>
      <w:pPr>
        <w:ind w:firstLine="380"/>
        <w:spacing w:after="0" w:line="295" w:lineRule="auto"/>
        <w:tabs>
          <w:tab w:leader="none" w:pos="87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grant of the Restricted Stock Units is made in consideration of the services to be rendered by the Participant to the Company.</w:t>
      </w:r>
    </w:p>
    <w:p>
      <w:pPr>
        <w:spacing w:after="0" w:line="146" w:lineRule="exact"/>
        <w:rPr>
          <w:rFonts w:ascii="Times New Roman" w:cs="Times New Roman" w:eastAsia="Times New Roman" w:hAnsi="Times New Roman"/>
          <w:sz w:val="17"/>
          <w:szCs w:val="17"/>
          <w:color w:val="auto"/>
        </w:rPr>
      </w:pPr>
    </w:p>
    <w:p>
      <w:pPr>
        <w:ind w:firstLine="380"/>
        <w:spacing w:after="0" w:line="295" w:lineRule="auto"/>
        <w:tabs>
          <w:tab w:leader="none" w:pos="87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The Restricted Stock Units will vest as set forth in the Notice. In the event of a Change in Control, the Restricted Stock Units will be subject to the provisions of the Plan relating to a Change in Control.</w:t>
      </w:r>
    </w:p>
    <w:p>
      <w:pPr>
        <w:spacing w:after="0" w:line="146" w:lineRule="exact"/>
        <w:rPr>
          <w:rFonts w:ascii="Times New Roman" w:cs="Times New Roman" w:eastAsia="Times New Roman" w:hAnsi="Times New Roman"/>
          <w:sz w:val="17"/>
          <w:szCs w:val="17"/>
          <w:color w:val="auto"/>
        </w:rPr>
      </w:pPr>
    </w:p>
    <w:p>
      <w:pPr>
        <w:jc w:val="both"/>
        <w:ind w:firstLine="380"/>
        <w:spacing w:after="0" w:line="264" w:lineRule="auto"/>
        <w:tabs>
          <w:tab w:leader="none" w:pos="87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w:t>
      </w:r>
      <w:r>
        <w:rPr>
          <w:rFonts w:ascii="Times New Roman" w:cs="Times New Roman" w:eastAsia="Times New Roman" w:hAnsi="Times New Roman"/>
          <w:sz w:val="17"/>
          <w:szCs w:val="17"/>
          <w:color w:val="auto"/>
        </w:rPr>
        <w:t>. No portion of the Restricted Stock Units may be sold, assigned, transferred, encumbered, hypothecated or pledged by the Participant other than to the Company as a result of forfeiture of the Restricted Stock Units as provided herein, unless and until settlement is made in respect of vested Restricted Stock Units in accordance with the provisions hereof. Any attempt to assign, alienate, pledge, attach, sell or otherwise transfer or encumber the Restricted Stock Units shall be wholly ineffective and, if any such attempt is made, the Restricted Stock Units will be forfeited by the Participant and all of the Participant’s rights to such Restricted Stock Units shall immediately terminate without any payment or consideration by the Company.</w:t>
      </w:r>
    </w:p>
    <w:p>
      <w:pPr>
        <w:spacing w:after="0" w:line="171" w:lineRule="exact"/>
        <w:rPr>
          <w:rFonts w:ascii="Times New Roman" w:cs="Times New Roman" w:eastAsia="Times New Roman" w:hAnsi="Times New Roman"/>
          <w:sz w:val="17"/>
          <w:szCs w:val="17"/>
          <w:color w:val="auto"/>
        </w:rPr>
      </w:pPr>
    </w:p>
    <w:p>
      <w:pPr>
        <w:ind w:left="880" w:hanging="500"/>
        <w:spacing w:after="0"/>
        <w:tabs>
          <w:tab w:leader="none" w:pos="8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Shareholder</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left="380" w:firstLine="501"/>
        <w:spacing w:after="0" w:line="295" w:lineRule="auto"/>
        <w:rPr>
          <w:sz w:val="20"/>
          <w:szCs w:val="20"/>
          <w:color w:val="auto"/>
        </w:rPr>
      </w:pPr>
      <w:r>
        <w:rPr>
          <w:rFonts w:ascii="Times New Roman" w:cs="Times New Roman" w:eastAsia="Times New Roman" w:hAnsi="Times New Roman"/>
          <w:sz w:val="17"/>
          <w:szCs w:val="17"/>
          <w:color w:val="auto"/>
        </w:rPr>
        <w:t>5.1 The Participant shall not have any rights of a shareholder with respect to the Restricted Stock Units unless and until the Restricted Stock Units vest and are settled by the issuance of Shares.</w:t>
      </w:r>
    </w:p>
    <w:p>
      <w:pPr>
        <w:spacing w:after="0" w:line="146" w:lineRule="exact"/>
        <w:rPr>
          <w:sz w:val="20"/>
          <w:szCs w:val="20"/>
          <w:color w:val="auto"/>
        </w:rPr>
      </w:pPr>
    </w:p>
    <w:p>
      <w:pPr>
        <w:jc w:val="both"/>
        <w:ind w:left="380" w:firstLine="501"/>
        <w:spacing w:after="0" w:line="275" w:lineRule="auto"/>
        <w:rPr>
          <w:sz w:val="20"/>
          <w:szCs w:val="20"/>
          <w:color w:val="auto"/>
        </w:rPr>
      </w:pPr>
      <w:r>
        <w:rPr>
          <w:rFonts w:ascii="Times New Roman" w:cs="Times New Roman" w:eastAsia="Times New Roman" w:hAnsi="Times New Roman"/>
          <w:sz w:val="17"/>
          <w:szCs w:val="17"/>
          <w:color w:val="auto"/>
        </w:rPr>
        <w:t>5.2 Upon and following the settlement of the Restricted Stock Units in Shares, the Participant shall be the record owner of the Shares unless and until such Shares are sold or otherwise disposed of and shall be entitled to all rights of a shareholder of the Company (including voting rights).</w:t>
      </w:r>
    </w:p>
    <w:p>
      <w:pPr>
        <w:spacing w:after="0" w:line="163" w:lineRule="exact"/>
        <w:rPr>
          <w:sz w:val="20"/>
          <w:szCs w:val="20"/>
          <w:color w:val="auto"/>
        </w:rPr>
      </w:pPr>
    </w:p>
    <w:p>
      <w:pPr>
        <w:ind w:left="880" w:hanging="500"/>
        <w:spacing w:after="0"/>
        <w:tabs>
          <w:tab w:leader="none" w:pos="8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Restricted Stock Units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617220</wp:posOffset>
            </wp:positionV>
            <wp:extent cx="6291580"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58" w:name="page159"/>
    <w:bookmarkEnd w:id="158"/>
    <w:p>
      <w:pPr>
        <w:jc w:val="both"/>
        <w:ind w:firstLine="501"/>
        <w:spacing w:after="0" w:line="269" w:lineRule="auto"/>
        <w:rPr>
          <w:sz w:val="20"/>
          <w:szCs w:val="20"/>
          <w:color w:val="auto"/>
        </w:rPr>
      </w:pPr>
      <w:r>
        <w:rPr>
          <w:rFonts w:ascii="Times New Roman" w:cs="Times New Roman" w:eastAsia="Times New Roman" w:hAnsi="Times New Roman"/>
          <w:sz w:val="17"/>
          <w:szCs w:val="17"/>
          <w:color w:val="auto"/>
        </w:rPr>
        <w:t>6.1 Subject to Section 9 hereof, promptly following the vesting date, and in any event no later than March 15 of the calendar year following the calendar year in which such vesting occurs, the Company shall (a) issue and deliver to the Participant the number of Shares equal to the number of vested Restricted Stock Units and (b) enter the Participant’s name on the books of the Company as the holder of record with respect to the Shares delivered to the Participant.</w:t>
      </w:r>
    </w:p>
    <w:p>
      <w:pPr>
        <w:spacing w:after="0" w:line="16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7"/>
          <w:szCs w:val="17"/>
          <w:color w:val="auto"/>
        </w:rPr>
        <w:t>6.2 If the Participant is deemed a “specified employee” within the meaning of Section 409A of the Code, as determined by the Committee, at a time when the Participant becomes eligible for settlement of the Restricted Stock Units upon the Participant’s “separation from service” within the meaning of Section 409A of the Code, then to the extent necessary to prevent any accelerated or additional tax under Section 409A of the Code, such settlement will be delayed until the earlier of: (a) the date that is six months following the Participant’s separation from service and (b) the Participant’s death.</w:t>
      </w:r>
    </w:p>
    <w:p>
      <w:pPr>
        <w:spacing w:after="0" w:line="170" w:lineRule="exact"/>
        <w:rPr>
          <w:sz w:val="20"/>
          <w:szCs w:val="20"/>
          <w:color w:val="auto"/>
        </w:rPr>
      </w:pPr>
    </w:p>
    <w:p>
      <w:pPr>
        <w:jc w:val="both"/>
        <w:ind w:firstLine="501"/>
        <w:spacing w:after="0" w:line="295" w:lineRule="auto"/>
        <w:rPr>
          <w:sz w:val="20"/>
          <w:szCs w:val="20"/>
          <w:color w:val="auto"/>
        </w:rPr>
      </w:pPr>
      <w:r>
        <w:rPr>
          <w:rFonts w:ascii="Times New Roman" w:cs="Times New Roman" w:eastAsia="Times New Roman" w:hAnsi="Times New Roman"/>
          <w:sz w:val="17"/>
          <w:szCs w:val="17"/>
          <w:color w:val="auto"/>
        </w:rPr>
        <w:t>6.3 To the extent that the Participant does not vest in any Restricted Stock Units, all interests in such Restricted Stock Units shall be forfeited automatically without consideration.</w:t>
      </w:r>
    </w:p>
    <w:p>
      <w:pPr>
        <w:spacing w:after="0" w:line="146" w:lineRule="exact"/>
        <w:rPr>
          <w:sz w:val="20"/>
          <w:szCs w:val="20"/>
          <w:color w:val="auto"/>
        </w:rPr>
      </w:pPr>
    </w:p>
    <w:p>
      <w:pPr>
        <w:jc w:val="both"/>
        <w:ind w:left="-380" w:firstLine="380"/>
        <w:spacing w:after="0" w:line="275" w:lineRule="auto"/>
        <w:tabs>
          <w:tab w:leader="none" w:pos="49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 to Continued Service</w:t>
      </w:r>
      <w:r>
        <w:rPr>
          <w:rFonts w:ascii="Times New Roman" w:cs="Times New Roman" w:eastAsia="Times New Roman" w:hAnsi="Times New Roman"/>
          <w:sz w:val="17"/>
          <w:szCs w:val="17"/>
          <w:color w:val="auto"/>
        </w:rPr>
        <w:t>. Neither the Plan nor this Agreement shall confer upon the Participant any right to be retained as an employee or consultant of the Company or any Affiliate. Further, nothing in the Plan or this Agreement shall be construed to limit the discretion of the Company to terminate the Participant’s Service at any time, with or without Cause.</w:t>
      </w:r>
    </w:p>
    <w:p>
      <w:pPr>
        <w:spacing w:after="0" w:line="163" w:lineRule="exact"/>
        <w:rPr>
          <w:rFonts w:ascii="Times New Roman" w:cs="Times New Roman" w:eastAsia="Times New Roman" w:hAnsi="Times New Roman"/>
          <w:sz w:val="17"/>
          <w:szCs w:val="17"/>
          <w:color w:val="auto"/>
        </w:rPr>
      </w:pPr>
    </w:p>
    <w:p>
      <w:pPr>
        <w:ind w:left="-380" w:firstLine="380"/>
        <w:spacing w:after="0" w:line="295" w:lineRule="auto"/>
        <w:tabs>
          <w:tab w:leader="none" w:pos="49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If any change is made to the outstanding Stock or the capital structure of the Company, if required, the Restricted Stock Units shall be adjusted or terminated in any manner as contemplated by Section 4.3 of the Plan.</w:t>
      </w:r>
    </w:p>
    <w:p>
      <w:pPr>
        <w:spacing w:after="0" w:line="146" w:lineRule="exact"/>
        <w:rPr>
          <w:rFonts w:ascii="Times New Roman" w:cs="Times New Roman" w:eastAsia="Times New Roman" w:hAnsi="Times New Roman"/>
          <w:sz w:val="17"/>
          <w:szCs w:val="17"/>
          <w:color w:val="auto"/>
        </w:rPr>
      </w:pPr>
    </w:p>
    <w:p>
      <w:pPr>
        <w:ind w:left="500" w:hanging="500"/>
        <w:spacing w:after="0"/>
        <w:tabs>
          <w:tab w:leader="none" w:pos="5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 and Withholding</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501"/>
        <w:spacing w:after="0" w:line="259" w:lineRule="auto"/>
        <w:rPr>
          <w:sz w:val="20"/>
          <w:szCs w:val="20"/>
          <w:color w:val="auto"/>
        </w:rPr>
      </w:pPr>
      <w:r>
        <w:rPr>
          <w:rFonts w:ascii="Times New Roman" w:cs="Times New Roman" w:eastAsia="Times New Roman" w:hAnsi="Times New Roman"/>
          <w:sz w:val="17"/>
          <w:szCs w:val="17"/>
          <w:color w:val="auto"/>
        </w:rPr>
        <w:t>9.1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The Committee may, in its sole discretion, permit the Participant to pay all such amounts of tax withholding, or any part thereof, by electing (a) to tender a cash payment, (b) to have the Company withhold from Shares otherwise issuable to the Participant a number of Shares having a value equal to the amount required to be withheld or such lesser amount as may be elected by the Participant; provided however, that the number of Shares so withheld shall not exceed the maximum amount required to be withheld (or such lesser amount as may be necessary to avoid classification as a liability under applicable accounting standards), or (C) to transfer to the Company a number of Shares that were acquired by the Participant more than six months prior to the transfer to the Company and that have a value equal to the amount required to be withheld or such lesser amount as may be elected by the Participant. All elections shall be subject to the approval or disapproval of the Committee. The value of the Shares to be withheld shall be based on the Fair Market Value of the Stock on the date that the amount of tax to be withheld is to be determined (the “</w:t>
      </w:r>
      <w:r>
        <w:rPr>
          <w:rFonts w:ascii="Times New Roman" w:cs="Times New Roman" w:eastAsia="Times New Roman" w:hAnsi="Times New Roman"/>
          <w:sz w:val="17"/>
          <w:szCs w:val="17"/>
          <w:b w:val="1"/>
          <w:bCs w:val="1"/>
          <w:i w:val="1"/>
          <w:iCs w:val="1"/>
          <w:color w:val="auto"/>
        </w:rPr>
        <w:t>Tax Date</w:t>
      </w:r>
      <w:r>
        <w:rPr>
          <w:rFonts w:ascii="Times New Roman" w:cs="Times New Roman" w:eastAsia="Times New Roman" w:hAnsi="Times New Roman"/>
          <w:sz w:val="17"/>
          <w:szCs w:val="17"/>
          <w:color w:val="auto"/>
        </w:rPr>
        <w:t>”). Any such election by the Participant to have Shares withheld for this purpose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725170</wp:posOffset>
            </wp:positionV>
            <wp:extent cx="629158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540"/>
          </w:cols>
          <w:pgMar w:left="1360" w:top="434" w:right="999" w:bottom="1440" w:gutter="0" w:footer="0" w:header="0"/>
        </w:sectPr>
      </w:pPr>
    </w:p>
    <w:bookmarkStart w:id="159" w:name="page160"/>
    <w:bookmarkEnd w:id="159"/>
    <w:p>
      <w:pPr>
        <w:jc w:val="both"/>
        <w:spacing w:after="0" w:line="269" w:lineRule="auto"/>
        <w:rPr>
          <w:sz w:val="20"/>
          <w:szCs w:val="20"/>
          <w:color w:val="auto"/>
        </w:rPr>
      </w:pPr>
      <w:r>
        <w:rPr>
          <w:rFonts w:ascii="Times New Roman" w:cs="Times New Roman" w:eastAsia="Times New Roman" w:hAnsi="Times New Roman"/>
          <w:sz w:val="17"/>
          <w:szCs w:val="17"/>
          <w:color w:val="auto"/>
        </w:rPr>
        <w:t>subject to the following restrictions: (i) all elections must be made prior to the Tax Date; (ii) all elections shall be irrevocable; (iii) if the Participant is an officer or director of the Company within the meaning of Section 16 of the Securities Exchange Act of 1934, as it may be amended from time to time, (“</w:t>
      </w:r>
      <w:r>
        <w:rPr>
          <w:rFonts w:ascii="Times New Roman" w:cs="Times New Roman" w:eastAsia="Times New Roman" w:hAnsi="Times New Roman"/>
          <w:sz w:val="17"/>
          <w:szCs w:val="17"/>
          <w:b w:val="1"/>
          <w:bCs w:val="1"/>
          <w:i w:val="1"/>
          <w:iCs w:val="1"/>
          <w:color w:val="auto"/>
        </w:rPr>
        <w:t>Section 16</w:t>
      </w:r>
      <w:r>
        <w:rPr>
          <w:rFonts w:ascii="Times New Roman" w:cs="Times New Roman" w:eastAsia="Times New Roman" w:hAnsi="Times New Roman"/>
          <w:sz w:val="17"/>
          <w:szCs w:val="17"/>
          <w:color w:val="auto"/>
        </w:rPr>
        <w:t>”), the Participant must satisfy the requirements of Section 16 and any applicable rules thereunder with respect to the use of Shares to satisfy such tax withholding obligation.</w:t>
      </w:r>
    </w:p>
    <w:p>
      <w:pPr>
        <w:spacing w:after="0" w:line="168" w:lineRule="exact"/>
        <w:rPr>
          <w:sz w:val="20"/>
          <w:szCs w:val="20"/>
          <w:color w:val="auto"/>
        </w:rPr>
      </w:pPr>
    </w:p>
    <w:p>
      <w:pPr>
        <w:jc w:val="both"/>
        <w:ind w:firstLine="501"/>
        <w:spacing w:after="0" w:line="266" w:lineRule="auto"/>
        <w:rPr>
          <w:sz w:val="20"/>
          <w:szCs w:val="20"/>
          <w:color w:val="auto"/>
        </w:rPr>
      </w:pPr>
      <w:r>
        <w:rPr>
          <w:rFonts w:ascii="Times New Roman" w:cs="Times New Roman" w:eastAsia="Times New Roman" w:hAnsi="Times New Roman"/>
          <w:sz w:val="17"/>
          <w:szCs w:val="17"/>
          <w:color w:val="auto"/>
        </w:rPr>
        <w:t>9.2 Notwithstanding any action the Company takes with respect to any or all income tax, social insurance, payroll tax, or other tax-related withholding (“</w:t>
      </w:r>
      <w:r>
        <w:rPr>
          <w:rFonts w:ascii="Times New Roman" w:cs="Times New Roman" w:eastAsia="Times New Roman" w:hAnsi="Times New Roman"/>
          <w:sz w:val="17"/>
          <w:szCs w:val="17"/>
          <w:b w:val="1"/>
          <w:bCs w:val="1"/>
          <w:i w:val="1"/>
          <w:iCs w:val="1"/>
          <w:color w:val="auto"/>
        </w:rPr>
        <w:t>Tax-Related Items</w:t>
      </w:r>
      <w:r>
        <w:rPr>
          <w:rFonts w:ascii="Times New Roman" w:cs="Times New Roman" w:eastAsia="Times New Roman" w:hAnsi="Times New Roman"/>
          <w:sz w:val="17"/>
          <w:szCs w:val="17"/>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170" w:lineRule="exact"/>
        <w:rPr>
          <w:sz w:val="20"/>
          <w:szCs w:val="20"/>
          <w:color w:val="auto"/>
        </w:rPr>
      </w:pPr>
    </w:p>
    <w:p>
      <w:pPr>
        <w:jc w:val="both"/>
        <w:ind w:left="-380" w:firstLine="381"/>
        <w:spacing w:after="0" w:line="269" w:lineRule="auto"/>
        <w:tabs>
          <w:tab w:leader="none" w:pos="49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 and Regulations</w:t>
      </w:r>
      <w:r>
        <w:rPr>
          <w:rFonts w:ascii="Times New Roman" w:cs="Times New Roman" w:eastAsia="Times New Roman" w:hAnsi="Times New Roman"/>
          <w:sz w:val="17"/>
          <w:szCs w:val="17"/>
          <w:color w:val="auto"/>
        </w:rPr>
        <w:t>. The issuance, transfer, vesting and ownership of Shares shall be subject to compliance by the Company and the Participant with all applicable requirements of federal and state securities laws and with all applicable requirements of any stock exchange on which the Stock may be listed at the time of such issuance or transfer. The Participant agrees to cooperate with the Company to ensure compliance with such laws and requirements.</w:t>
      </w:r>
    </w:p>
    <w:p>
      <w:pPr>
        <w:spacing w:after="0" w:line="167" w:lineRule="exact"/>
        <w:rPr>
          <w:rFonts w:ascii="Times New Roman" w:cs="Times New Roman" w:eastAsia="Times New Roman" w:hAnsi="Times New Roman"/>
          <w:sz w:val="17"/>
          <w:szCs w:val="17"/>
          <w:color w:val="auto"/>
        </w:rPr>
      </w:pPr>
    </w:p>
    <w:p>
      <w:pPr>
        <w:jc w:val="both"/>
        <w:ind w:left="-380" w:firstLine="380"/>
        <w:spacing w:after="0" w:line="264" w:lineRule="auto"/>
        <w:tabs>
          <w:tab w:leader="none" w:pos="49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Every notice or other communication relating to this Agreement shall be in writing, and shall be mailed via certified mail or overnight courier, postage prepaid, to the party for whom it is intended at such address as may from time to time be designated by it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and all notices or communications by the Company to the Participant may be given to the Participant personally or may be mailed to the Participant at the address as recorded in the records of the Company.</w:t>
      </w:r>
    </w:p>
    <w:p>
      <w:pPr>
        <w:spacing w:after="0" w:line="171" w:lineRule="exact"/>
        <w:rPr>
          <w:rFonts w:ascii="Times New Roman" w:cs="Times New Roman" w:eastAsia="Times New Roman" w:hAnsi="Times New Roman"/>
          <w:sz w:val="17"/>
          <w:szCs w:val="17"/>
          <w:color w:val="auto"/>
        </w:rPr>
      </w:pPr>
    </w:p>
    <w:p>
      <w:pPr>
        <w:jc w:val="both"/>
        <w:ind w:left="-380" w:firstLine="380"/>
        <w:spacing w:after="0" w:line="269" w:lineRule="auto"/>
        <w:tabs>
          <w:tab w:leader="none" w:pos="49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substantive laws of the State of Delaware without regard to its conflict of laws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167" w:lineRule="exact"/>
        <w:rPr>
          <w:rFonts w:ascii="Times New Roman" w:cs="Times New Roman" w:eastAsia="Times New Roman" w:hAnsi="Times New Roman"/>
          <w:sz w:val="17"/>
          <w:szCs w:val="17"/>
          <w:color w:val="auto"/>
        </w:rPr>
      </w:pPr>
    </w:p>
    <w:p>
      <w:pPr>
        <w:jc w:val="both"/>
        <w:ind w:left="-380" w:firstLine="380"/>
        <w:spacing w:after="0" w:line="262" w:lineRule="auto"/>
        <w:tabs>
          <w:tab w:leader="none" w:pos="49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In accordance with Section 13.6 of the Plan, by accepting the Restricted Stock Units, the Participant acknowledges that the Participant may be bound by, and subject to all of the terms and conditions of, the Clawback Policy, and the Participant agrees to abide by any applicable terms of the Clawback Policy. To the extent that the Board determines that all or any portion of the Restricted Stock Units or the Shares issued on settlement thereof (or the value of those Shares) must be cancelled, forfeited, repaid, or otherwise recovered by the Company, the Participant shall promptly take whatever action is necessary to effectuate such cancellation, forfeiture, repayment, or recovery. In the event of any conflict between the terms of the Clawback Policy and the terms of the Plan or this Agreement, the terms of the Clawback Policy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588010</wp:posOffset>
            </wp:positionV>
            <wp:extent cx="6291580"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540"/>
          </w:cols>
          <w:pgMar w:left="1360" w:top="434" w:right="999" w:bottom="1440" w:gutter="0" w:footer="0" w:header="0"/>
        </w:sectPr>
      </w:pPr>
    </w:p>
    <w:bookmarkStart w:id="160" w:name="page161"/>
    <w:bookmarkEnd w:id="160"/>
    <w:p>
      <w:pPr>
        <w:jc w:val="both"/>
        <w:ind w:left="-380" w:firstLine="380"/>
        <w:spacing w:after="0" w:line="269"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Units Subject to Plan</w:t>
      </w:r>
      <w:r>
        <w:rPr>
          <w:rFonts w:ascii="Times New Roman" w:cs="Times New Roman" w:eastAsia="Times New Roman" w:hAnsi="Times New Roman"/>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7" w:lineRule="exact"/>
        <w:rPr>
          <w:rFonts w:ascii="Times New Roman" w:cs="Times New Roman" w:eastAsia="Times New Roman" w:hAnsi="Times New Roman"/>
          <w:sz w:val="17"/>
          <w:szCs w:val="17"/>
          <w:color w:val="auto"/>
        </w:rPr>
      </w:pPr>
    </w:p>
    <w:p>
      <w:pPr>
        <w:jc w:val="both"/>
        <w:ind w:left="-380" w:firstLine="380"/>
        <w:spacing w:after="0" w:line="275"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This Agreement shall be binding upon and inure to the benefit of the successors and assigns of the Company. Subject to the restrictions on transfer set forth herein, this Agreement shall be binding upon the Participant and the Participant’s heirs, executors, administrators, legal representatives, successors and assigns.</w:t>
      </w:r>
    </w:p>
    <w:p>
      <w:pPr>
        <w:spacing w:after="0" w:line="163" w:lineRule="exact"/>
        <w:rPr>
          <w:rFonts w:ascii="Times New Roman" w:cs="Times New Roman" w:eastAsia="Times New Roman" w:hAnsi="Times New Roman"/>
          <w:sz w:val="17"/>
          <w:szCs w:val="17"/>
          <w:color w:val="auto"/>
        </w:rPr>
      </w:pPr>
    </w:p>
    <w:p>
      <w:pPr>
        <w:jc w:val="both"/>
        <w:ind w:left="-380" w:firstLine="380"/>
        <w:spacing w:after="0" w:line="275"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63" w:lineRule="exact"/>
        <w:rPr>
          <w:rFonts w:ascii="Times New Roman" w:cs="Times New Roman" w:eastAsia="Times New Roman" w:hAnsi="Times New Roman"/>
          <w:sz w:val="17"/>
          <w:szCs w:val="17"/>
          <w:color w:val="auto"/>
        </w:rPr>
      </w:pPr>
    </w:p>
    <w:p>
      <w:pPr>
        <w:jc w:val="both"/>
        <w:ind w:left="-380" w:firstLine="380"/>
        <w:spacing w:after="0" w:line="266"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Discretionary Nature of Plan</w:t>
      </w:r>
      <w:r>
        <w:rPr>
          <w:rFonts w:ascii="Times New Roman" w:cs="Times New Roman" w:eastAsia="Times New Roman" w:hAnsi="Times New Roman"/>
          <w:sz w:val="17"/>
          <w:szCs w:val="17"/>
          <w:color w:val="auto"/>
        </w:rPr>
        <w:t>. The Plan is discretionary and may be amended, cancelled or terminated by the Company at any time, in its discretion. The grant of the Restricted Stock Units hereunder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or engagement by the Company or its Affiliates.</w:t>
      </w:r>
    </w:p>
    <w:p>
      <w:pPr>
        <w:spacing w:after="0" w:line="169" w:lineRule="exact"/>
        <w:rPr>
          <w:rFonts w:ascii="Times New Roman" w:cs="Times New Roman" w:eastAsia="Times New Roman" w:hAnsi="Times New Roman"/>
          <w:sz w:val="17"/>
          <w:szCs w:val="17"/>
          <w:color w:val="auto"/>
        </w:rPr>
      </w:pPr>
    </w:p>
    <w:p>
      <w:pPr>
        <w:ind w:left="-380" w:firstLine="380"/>
        <w:spacing w:after="0" w:line="295"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Committee has the right to amend, alter, suspend, discontinue or cancel this Agreement; provided, that, no such amendment shall materially and adversely affect the Participant’s rights under this Agreement without the Participant’s consent.</w:t>
      </w:r>
    </w:p>
    <w:p>
      <w:pPr>
        <w:spacing w:after="0" w:line="146" w:lineRule="exact"/>
        <w:rPr>
          <w:rFonts w:ascii="Times New Roman" w:cs="Times New Roman" w:eastAsia="Times New Roman" w:hAnsi="Times New Roman"/>
          <w:sz w:val="17"/>
          <w:szCs w:val="17"/>
          <w:color w:val="auto"/>
        </w:rPr>
      </w:pPr>
    </w:p>
    <w:p>
      <w:pPr>
        <w:jc w:val="both"/>
        <w:ind w:left="-380" w:firstLine="380"/>
        <w:spacing w:after="0" w:line="260"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Agreement is intended to comply with, or be exempt from, the provisions of Section 409A of the Code and shall be construed and interpreted in accordance with such intent. The Company reserves the right to amend this Agreement to the extent it reasonably determines is necessary in order to avoid any adverse tax consequences under Section 409A of the Code. Notwithstanding anything to the contrary, none of the Company, its officers, directors, employees, agents or representatives guarantees that this Agreement complies with, or is exempt from, the provisions of Section 409A of the Code and none of the foregoing shall have any liability for the failure of this Agreement to comply with, or be exempt from, the provisions of Section 409A of the Code. To the extent that any payment or benefit under this Agreement is nonqualified deferred compensation subject to Section 409A of the Code, as determined by the Committee, and is payable to the Participant by reason of termination of employment, such payment or benefit shall be made or provided to the Participant only upon a “separation from service,” as defined under Section 409A of the Code. Each payment under this Agreement shall be treated as a separate payment under Section 409A of the Code.</w:t>
      </w:r>
    </w:p>
    <w:p>
      <w:pPr>
        <w:spacing w:after="0" w:line="179" w:lineRule="exact"/>
        <w:rPr>
          <w:rFonts w:ascii="Times New Roman" w:cs="Times New Roman" w:eastAsia="Times New Roman" w:hAnsi="Times New Roman"/>
          <w:sz w:val="17"/>
          <w:szCs w:val="17"/>
          <w:color w:val="auto"/>
        </w:rPr>
      </w:pPr>
    </w:p>
    <w:p>
      <w:pPr>
        <w:ind w:left="-380" w:firstLine="380"/>
        <w:spacing w:after="0" w:line="295" w:lineRule="auto"/>
        <w:tabs>
          <w:tab w:leader="none" w:pos="49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Other Benefits</w:t>
      </w:r>
      <w:r>
        <w:rPr>
          <w:rFonts w:ascii="Times New Roman" w:cs="Times New Roman" w:eastAsia="Times New Roman" w:hAnsi="Times New Roman"/>
          <w:sz w:val="17"/>
          <w:szCs w:val="17"/>
          <w:color w:val="auto"/>
        </w:rPr>
        <w:t>. The value of the Participant’s Restricted Stock Units shall not be part of his or her normal or expected compensation for purposes of calculating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568325</wp:posOffset>
            </wp:positionV>
            <wp:extent cx="6291580"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540"/>
          </w:cols>
          <w:pgMar w:left="1360" w:top="434" w:right="999" w:bottom="1440" w:gutter="0" w:footer="0" w:header="0"/>
        </w:sectPr>
      </w:pPr>
    </w:p>
    <w:bookmarkStart w:id="161" w:name="page162"/>
    <w:bookmarkEnd w:id="161"/>
    <w:p>
      <w:pPr>
        <w:spacing w:after="0" w:line="267" w:lineRule="auto"/>
        <w:rPr>
          <w:sz w:val="20"/>
          <w:szCs w:val="20"/>
          <w:color w:val="auto"/>
        </w:rPr>
      </w:pPr>
      <w:r>
        <w:rPr>
          <w:rFonts w:ascii="Times New Roman" w:cs="Times New Roman" w:eastAsia="Times New Roman" w:hAnsi="Times New Roman"/>
          <w:sz w:val="17"/>
          <w:szCs w:val="17"/>
          <w:color w:val="auto"/>
        </w:rPr>
        <w:t>severance, retirement, welfare, insurance or similar employee benefit unless such benefit explicitly provides for inclusion of the applicable value.</w:t>
      </w:r>
    </w:p>
    <w:p>
      <w:pPr>
        <w:spacing w:after="0" w:line="200" w:lineRule="exact"/>
        <w:rPr>
          <w:sz w:val="20"/>
          <w:szCs w:val="20"/>
          <w:color w:val="auto"/>
        </w:rPr>
      </w:pPr>
    </w:p>
    <w:p>
      <w:pPr>
        <w:spacing w:after="0" w:line="209" w:lineRule="exact"/>
        <w:rPr>
          <w:sz w:val="20"/>
          <w:szCs w:val="20"/>
          <w:color w:val="auto"/>
        </w:rPr>
      </w:pPr>
    </w:p>
    <w:p>
      <w:pPr>
        <w:jc w:val="both"/>
        <w:ind w:right="120" w:firstLine="380"/>
        <w:spacing w:after="0" w:line="275" w:lineRule="auto"/>
        <w:tabs>
          <w:tab w:leader="none" w:pos="87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Copies</w:t>
      </w:r>
      <w:r>
        <w:rPr>
          <w:rFonts w:ascii="Times New Roman" w:cs="Times New Roman" w:eastAsia="Times New Roman" w:hAnsi="Times New Roman"/>
          <w:sz w:val="17"/>
          <w:szCs w:val="17"/>
          <w:color w:val="auto"/>
        </w:rPr>
        <w:t>. This Agreement may be signed in counterparts, each of which when executed shall be deemed an original but all of which taken together shall constitute one and the same agreement. Fax or PDF copies of the parties’ signatures shall have the same force and effect as original signatures.</w:t>
      </w:r>
    </w:p>
    <w:p>
      <w:pPr>
        <w:spacing w:after="0" w:line="163" w:lineRule="exact"/>
        <w:rPr>
          <w:rFonts w:ascii="Times New Roman" w:cs="Times New Roman" w:eastAsia="Times New Roman" w:hAnsi="Times New Roman"/>
          <w:sz w:val="17"/>
          <w:szCs w:val="17"/>
          <w:color w:val="auto"/>
        </w:rPr>
      </w:pPr>
    </w:p>
    <w:p>
      <w:pPr>
        <w:jc w:val="both"/>
        <w:ind w:firstLine="380"/>
        <w:spacing w:after="0" w:line="260" w:lineRule="auto"/>
        <w:tabs>
          <w:tab w:leader="none" w:pos="87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Participant hereby acknowledges receipt of a copy of the Plan and this Agreement (such delivery may be electronic). The Participant has read and understands the terms and provisions thereof and accepts the Restricted Stock Units subject to all the terms and conditions of the Plan and this Agreement. The Company is not providing any tax, legal or financial advice, nor is the Company making any recommendations regarding the Participant’s participation in the Plan, or the Participant’s acquisition or sale of the Shares delivered on settlement of the Restricted Stock Units. The Participant acknowledges that there may be adverse tax consequences upon the vesting or settlement of the Restricted Stock Units or disposition of the underlying shares and that the Participant has been advised to consult a tax advisor prior to such vesting, settlement or disposition. With respect to such matters, the Participant relies solely on such advisors and not on any statements or representations of the Company or any of its agents, written or oral. The Participant understands that the Participant (and not the Company) shall be responsible for the Participant’s own tax liability that may arise as a result of this investment or the transactions contemplated by this Agreement.</w:t>
      </w:r>
    </w:p>
    <w:p>
      <w:pPr>
        <w:spacing w:after="0" w:line="179" w:lineRule="exact"/>
        <w:rPr>
          <w:rFonts w:ascii="Times New Roman" w:cs="Times New Roman" w:eastAsia="Times New Roman" w:hAnsi="Times New Roman"/>
          <w:sz w:val="17"/>
          <w:szCs w:val="17"/>
          <w:color w:val="auto"/>
        </w:rPr>
      </w:pPr>
    </w:p>
    <w:p>
      <w:pPr>
        <w:jc w:val="both"/>
        <w:ind w:firstLine="380"/>
        <w:spacing w:after="0" w:line="259" w:lineRule="auto"/>
        <w:tabs>
          <w:tab w:leader="none" w:pos="87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The Participant hereby explicitly and unambiguously consents to the collection, use and transfer, whether in electronic or other form, of the Participant’s Personal Data (as described below) by and among, as applicable, the Company and any Subsidiary or Affiliate or third parties as may be selected by the Company for the exclusive purpose of implementing, administering, and managing the Participant’s participation in the Plan. The Participant understands that refusal or withdrawal of consent will affect the Participant’s ability to participate in the Plan; without providing consent, the Participant will not be able to participate in the Plan or realize benefits (if any) from the Award. The Participant understands that the Company and any Subsidiary or Affiliate or designated third parties may hold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or any Subsidiary or Affiliate, details of all Awards or any other entitlement to Shares awarded, canceled, exercised, vested, unvested or outstanding in the Participant’s favor (“</w:t>
      </w:r>
      <w:r>
        <w:rPr>
          <w:rFonts w:ascii="Times New Roman" w:cs="Times New Roman" w:eastAsia="Times New Roman" w:hAnsi="Times New Roman"/>
          <w:sz w:val="17"/>
          <w:szCs w:val="17"/>
          <w:b w:val="1"/>
          <w:bCs w:val="1"/>
          <w:i w:val="1"/>
          <w:iCs w:val="1"/>
          <w:color w:val="auto"/>
        </w:rPr>
        <w:t>Personal Data</w:t>
      </w:r>
      <w:r>
        <w:rPr>
          <w:rFonts w:ascii="Times New Roman" w:cs="Times New Roman" w:eastAsia="Times New Roman" w:hAnsi="Times New Roman"/>
          <w:sz w:val="17"/>
          <w:szCs w:val="17"/>
          <w:color w:val="auto"/>
        </w:rPr>
        <w:t>”). The Participant understands that Personal Data may be transferred to any Subsidiary or Affiliate or third parties assisting in the implementation, administration and management of the Plan, that these recipients may be located in the United States, the Participant’s country of residence, or elsewhere, and that the recipient’s country may have different data privacy laws and protections than the Participant’s country of residence. In particular, the Company may transfer Personal Data to the broker or stock plan administrator assisting with the Plan, to its legal counsel and tax/accounting advisor, and to the Subsidiary or Affiliate that is the Participant’s employer and its payroll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457200</wp:posOffset>
            </wp:positionV>
            <wp:extent cx="629158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435" w:right="9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EMPLOYEE FORM</w:t>
      </w:r>
    </w:p>
    <w:p>
      <w:pPr>
        <w:spacing w:after="0" w:line="2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errestrial</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nergy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2025 E</w:t>
      </w:r>
      <w:r>
        <w:rPr>
          <w:rFonts w:ascii="Times New Roman" w:cs="Times New Roman" w:eastAsia="Times New Roman" w:hAnsi="Times New Roman"/>
          <w:sz w:val="11"/>
          <w:szCs w:val="11"/>
          <w:b w:val="1"/>
          <w:bCs w:val="1"/>
          <w:color w:val="auto"/>
        </w:rPr>
        <w:t>quity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u w:val="single" w:color="auto"/>
          <w:color w:val="auto"/>
        </w:rPr>
        <w:t>N</w:t>
      </w:r>
      <w:r>
        <w:rPr>
          <w:rFonts w:ascii="Times New Roman" w:cs="Times New Roman" w:eastAsia="Times New Roman" w:hAnsi="Times New Roman"/>
          <w:sz w:val="11"/>
          <w:szCs w:val="11"/>
          <w:u w:val="single" w:color="auto"/>
          <w:color w:val="auto"/>
        </w:rPr>
        <w:t>otice of</w:t>
      </w:r>
      <w:r>
        <w:rPr>
          <w:rFonts w:ascii="Times New Roman" w:cs="Times New Roman" w:eastAsia="Times New Roman" w:hAnsi="Times New Roman"/>
          <w:sz w:val="17"/>
          <w:szCs w:val="17"/>
          <w:u w:val="single" w:color="auto"/>
          <w:color w:val="auto"/>
        </w:rPr>
        <w:t xml:space="preserve"> O</w:t>
      </w:r>
      <w:r>
        <w:rPr>
          <w:rFonts w:ascii="Times New Roman" w:cs="Times New Roman" w:eastAsia="Times New Roman" w:hAnsi="Times New Roman"/>
          <w:sz w:val="11"/>
          <w:szCs w:val="11"/>
          <w:u w:val="single" w:color="auto"/>
          <w:color w:val="auto"/>
        </w:rPr>
        <w:t>ption</w:t>
      </w:r>
      <w:r>
        <w:rPr>
          <w:rFonts w:ascii="Times New Roman" w:cs="Times New Roman" w:eastAsia="Times New Roman" w:hAnsi="Times New Roman"/>
          <w:sz w:val="17"/>
          <w:szCs w:val="17"/>
          <w:u w:val="single" w:color="auto"/>
          <w:color w:val="auto"/>
        </w:rPr>
        <w:t xml:space="preserve"> G</w:t>
      </w:r>
      <w:r>
        <w:rPr>
          <w:rFonts w:ascii="Times New Roman" w:cs="Times New Roman" w:eastAsia="Times New Roman" w:hAnsi="Times New Roman"/>
          <w:sz w:val="11"/>
          <w:szCs w:val="11"/>
          <w:u w:val="single" w:color="auto"/>
          <w:color w:val="auto"/>
        </w:rPr>
        <w:t>rant</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You are hereby provided this Notice of Option Grant (this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for the following option grant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Shares under the Terrestrial Energy Inc. 2025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All capitalized terms in this Grant Notice shall have the meaning assigned to them in this Grant Notice or the attached Option Agreement, or if not defined herein or therein, in the Plan.</w:t>
      </w:r>
    </w:p>
    <w:p>
      <w:pPr>
        <w:spacing w:after="0" w:line="158"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_________________</w:t>
      </w:r>
    </w:p>
    <w:p>
      <w:pPr>
        <w:spacing w:after="0" w:line="131"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________________</w:t>
      </w:r>
    </w:p>
    <w:p>
      <w:pPr>
        <w:spacing w:after="0" w:line="144"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b w:val="1"/>
          <w:bCs w:val="1"/>
          <w:color w:val="auto"/>
        </w:rPr>
        <w:t>Vesting Commencement Date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_________________</w:t>
      </w:r>
    </w:p>
    <w:p>
      <w:pPr>
        <w:spacing w:after="0" w:line="131"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b w:val="1"/>
          <w:bCs w:val="1"/>
          <w:color w:val="auto"/>
        </w:rPr>
        <w:t>Option Price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$_________ per Share</w:t>
      </w:r>
    </w:p>
    <w:p>
      <w:pPr>
        <w:spacing w:after="0" w:line="131"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7"/>
          <w:szCs w:val="17"/>
          <w:b w:val="1"/>
          <w:bCs w:val="1"/>
          <w:color w:val="auto"/>
        </w:rPr>
        <w:t>Number of Shares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_____ Shares</w:t>
      </w:r>
    </w:p>
    <w:p>
      <w:pPr>
        <w:spacing w:after="0" w:line="144"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b w:val="1"/>
          <w:bCs w:val="1"/>
          <w:color w:val="auto"/>
        </w:rPr>
        <w:t>Expiration Date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Tenth Anniversary of the Grant Date</w:t>
      </w:r>
    </w:p>
    <w:p>
      <w:pPr>
        <w:spacing w:after="0" w:line="131"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7"/>
          <w:szCs w:val="17"/>
          <w:b w:val="1"/>
          <w:bCs w:val="1"/>
          <w:color w:val="auto"/>
        </w:rPr>
        <w:t>Type of Option</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Check the appropriate box below:</w:t>
      </w:r>
    </w:p>
    <w:p>
      <w:pPr>
        <w:sectPr>
          <w:pgSz w:w="11900" w:h="16838" w:orient="portrait"/>
          <w:cols w:equalWidth="0" w:num="1">
            <w:col w:w="9920"/>
          </w:cols>
          <w:pgMar w:left="980" w:top="119" w:right="999" w:bottom="1440" w:gutter="0" w:footer="0" w:header="0"/>
        </w:sectPr>
      </w:pPr>
    </w:p>
    <w:p>
      <w:pPr>
        <w:spacing w:after="0" w:line="94" w:lineRule="exact"/>
        <w:rPr>
          <w:sz w:val="20"/>
          <w:szCs w:val="20"/>
          <w:color w:val="auto"/>
        </w:rPr>
      </w:pPr>
    </w:p>
    <w:p>
      <w:pPr>
        <w:ind w:left="25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Stock Options</w:t>
      </w:r>
    </w:p>
    <w:p>
      <w:pPr>
        <w:spacing w:after="0" w:line="105" w:lineRule="exact"/>
        <w:rPr>
          <w:sz w:val="20"/>
          <w:szCs w:val="20"/>
          <w:color w:val="auto"/>
        </w:rPr>
      </w:pPr>
    </w:p>
    <w:p>
      <w:pPr>
        <w:sectPr>
          <w:pgSz w:w="11900" w:h="16838" w:orient="portrait"/>
          <w:cols w:equalWidth="0" w:num="2">
            <w:col w:w="2660" w:space="100"/>
            <w:col w:w="7160"/>
          </w:cols>
          <w:pgMar w:left="980" w:top="119" w:right="999" w:bottom="1440" w:gutter="0" w:footer="0" w:header="0"/>
          <w:type w:val="continuous"/>
        </w:sectPr>
      </w:pPr>
    </w:p>
    <w:p>
      <w:pPr>
        <w:ind w:left="252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Non-Qualified Stock Options</w:t>
      </w:r>
    </w:p>
    <w:p>
      <w:pPr>
        <w:spacing w:after="0" w:line="129" w:lineRule="exact"/>
        <w:rPr>
          <w:sz w:val="20"/>
          <w:szCs w:val="20"/>
          <w:color w:val="auto"/>
        </w:rPr>
      </w:pPr>
    </w:p>
    <w:p>
      <w:pPr>
        <w:sectPr>
          <w:pgSz w:w="11900" w:h="16838" w:orient="portrait"/>
          <w:cols w:equalWidth="0" w:num="2">
            <w:col w:w="2660" w:space="100"/>
            <w:col w:w="7160"/>
          </w:cols>
          <w:pgMar w:left="980" w:top="119"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 Optionholder shall acquire a vested interest in the Shares as follows:</w:t>
      </w:r>
    </w:p>
    <w:p>
      <w:pPr>
        <w:spacing w:after="0" w:line="125"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[The Option shall become vested as to [</w:t>
            </w:r>
          </w:p>
        </w:tc>
        <w:tc>
          <w:tcPr>
            <w:tcW w:w="980" w:type="dxa"/>
            <w:vAlign w:val="bottom"/>
            <w:tcBorders>
              <w:bottom w:val="single" w:sz="8" w:color="auto"/>
            </w:tcBorders>
          </w:tcPr>
          <w:p>
            <w:pPr>
              <w:spacing w:after="0"/>
              <w:rPr>
                <w:sz w:val="17"/>
                <w:szCs w:val="17"/>
                <w:color w:val="auto"/>
              </w:rPr>
            </w:pPr>
          </w:p>
        </w:tc>
        <w:tc>
          <w:tcPr>
            <w:tcW w:w="5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of the Shares subject to the Option on the [ ] anniversary of the Vesting</w:t>
            </w:r>
          </w:p>
        </w:tc>
      </w:tr>
      <w:tr>
        <w:trPr>
          <w:trHeight w:val="189"/>
        </w:trPr>
        <w:tc>
          <w:tcPr>
            <w:tcW w:w="572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auto"/>
              </w:rPr>
              <w:t>Commencement Date, such that the Option is fully vested on the [​</w:t>
            </w:r>
          </w:p>
        </w:tc>
        <w:tc>
          <w:tcPr>
            <w:tcW w:w="3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anniversary of the Vesting Commencement Date,</w:t>
            </w: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-140335</wp:posOffset>
            </wp:positionV>
            <wp:extent cx="247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subject to the Optionholder’s continuous Service with the Company on each such vesting date. If the Optionholder’s continuous Service terminates prior to any vesting date, any portion of the Option that had not vested prior to such termination shall be automatically forfeited and the Optionholder’s right to such portion of the Option shall immediately terminate without any payment or consideration by the Company.]</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Optionholder understands and agrees that the Option is granted subject to and in accordance with, and Optionholder agrees to be bound by, the terms of the Plan and the Option Agreement attached hereto. As of the Grant Date, this Grant Notice, the Option Agreement, and the Plan set forth the entire understanding between Optionholder and the Company regarding the Option and supersede all prior oral and written agreements with respect to the Option. The Optionholder acknowledges that there may be adverse tax consequences upon exercise of the Option or disposition of the underlying Shares and that the Optionholder should consult a tax advisor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15748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385" w:lineRule="exact"/>
        <w:rPr>
          <w:sz w:val="20"/>
          <w:szCs w:val="20"/>
          <w:color w:val="auto"/>
        </w:rPr>
      </w:pPr>
    </w:p>
    <w:p>
      <w:pPr>
        <w:jc w:val="both"/>
        <w:ind w:left="320" w:right="420" w:hanging="315"/>
        <w:spacing w:after="0" w:line="224" w:lineRule="auto"/>
        <w:tabs>
          <w:tab w:leader="none" w:pos="320" w:val="left"/>
        </w:tabs>
        <w:numPr>
          <w:ilvl w:val="0"/>
          <w:numId w:val="10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Please note that for tax purposes, this is only a preliminary indication of the Company’s intent as to the type of option you are being granted. The determination of the type of option you hold is governed by statute and may change depending upon many statutorily required criteria, including, but not limited to, how many options become vested in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862965</wp:posOffset>
            </wp:positionV>
            <wp:extent cx="629158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type w:val="continuous"/>
        </w:sectPr>
      </w:pPr>
    </w:p>
    <w:bookmarkStart w:id="163" w:name="page164"/>
    <w:bookmarkEnd w:id="163"/>
    <w:p>
      <w:pPr>
        <w:jc w:val="both"/>
        <w:spacing w:after="0" w:line="263" w:lineRule="auto"/>
        <w:rPr>
          <w:sz w:val="20"/>
          <w:szCs w:val="20"/>
          <w:color w:val="auto"/>
        </w:rPr>
      </w:pPr>
      <w:r>
        <w:rPr>
          <w:rFonts w:ascii="Times New Roman" w:cs="Times New Roman" w:eastAsia="Times New Roman" w:hAnsi="Times New Roman"/>
          <w:sz w:val="17"/>
          <w:szCs w:val="17"/>
          <w:color w:val="auto"/>
        </w:rPr>
        <w:t>to such exercise or disposition. By accepting the Option, Optionholder consents to receive documents governing the Option by electronic delivery and to participate in the Plan through an online or electronic system established and maintained by the Company or another third party designated by the Company from time to time. This Grant Notice may be executed in counterparts, each of which shall be deemed an original but all of which together will constitute one and the same instrument. Counterpart signature pages to this Grant Notice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Terrestrial Energy Inc.</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Optionholder</w:t>
            </w:r>
          </w:p>
        </w:tc>
        <w:tc>
          <w:tcPr>
            <w:tcW w:w="0" w:type="dxa"/>
            <w:vAlign w:val="bottom"/>
          </w:tcPr>
          <w:p>
            <w:pPr>
              <w:spacing w:after="0"/>
              <w:rPr>
                <w:sz w:val="1"/>
                <w:szCs w:val="1"/>
                <w:color w:val="auto"/>
              </w:rPr>
            </w:pPr>
          </w:p>
        </w:tc>
      </w:tr>
      <w:tr>
        <w:trPr>
          <w:trHeight w:val="418"/>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202"/>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4060" w:type="dxa"/>
            <w:vAlign w:val="bottom"/>
            <w:tcBorders>
              <w:top w:val="single" w:sz="8" w:color="auto"/>
              <w:bottom w:val="single" w:sz="8" w:color="auto"/>
            </w:tcBorders>
          </w:tcPr>
          <w:p>
            <w:pPr>
              <w:spacing w:after="0"/>
              <w:rPr>
                <w:sz w:val="17"/>
                <w:szCs w:val="17"/>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Name:</w:t>
            </w:r>
          </w:p>
        </w:tc>
        <w:tc>
          <w:tcPr>
            <w:tcW w:w="44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4060" w:type="dxa"/>
            <w:vAlign w:val="bottom"/>
            <w:tcBorders>
              <w:bottom w:val="single" w:sz="8" w:color="auto"/>
            </w:tcBorders>
          </w:tcPr>
          <w:p>
            <w:pPr>
              <w:spacing w:after="0"/>
              <w:rPr>
                <w:sz w:val="17"/>
                <w:szCs w:val="17"/>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Date:</w:t>
            </w:r>
          </w:p>
        </w:tc>
        <w:tc>
          <w:tcPr>
            <w:tcW w:w="4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w:t>
            </w:r>
          </w:p>
        </w:tc>
        <w:tc>
          <w:tcPr>
            <w:tcW w:w="4060" w:type="dxa"/>
            <w:vAlign w:val="bottom"/>
            <w:tcBorders>
              <w:bottom w:val="single" w:sz="8" w:color="auto"/>
            </w:tcBorders>
          </w:tcPr>
          <w:p>
            <w:pPr>
              <w:spacing w:after="0"/>
              <w:rPr>
                <w:sz w:val="17"/>
                <w:szCs w:val="17"/>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2</w:t>
            </w: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64" w:name="page165"/>
    <w:bookmarkEnd w:id="164"/>
    <w:p>
      <w:pPr>
        <w:ind w:left="40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errestrial</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nergy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3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2025 E</w:t>
      </w:r>
      <w:r>
        <w:rPr>
          <w:rFonts w:ascii="Times New Roman" w:cs="Times New Roman" w:eastAsia="Times New Roman" w:hAnsi="Times New Roman"/>
          <w:sz w:val="11"/>
          <w:szCs w:val="11"/>
          <w:b w:val="1"/>
          <w:bCs w:val="1"/>
          <w:color w:val="auto"/>
        </w:rPr>
        <w:t>quity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u w:val="single" w:color="auto"/>
          <w:color w:val="auto"/>
        </w:rPr>
        <w:t>O</w:t>
      </w:r>
      <w:r>
        <w:rPr>
          <w:rFonts w:ascii="Times New Roman" w:cs="Times New Roman" w:eastAsia="Times New Roman" w:hAnsi="Times New Roman"/>
          <w:sz w:val="11"/>
          <w:szCs w:val="11"/>
          <w:u w:val="single" w:color="auto"/>
          <w:color w:val="auto"/>
        </w:rPr>
        <w:t>ption</w:t>
      </w:r>
      <w:r>
        <w:rPr>
          <w:rFonts w:ascii="Times New Roman" w:cs="Times New Roman" w:eastAsia="Times New Roman" w:hAnsi="Times New Roman"/>
          <w:sz w:val="17"/>
          <w:szCs w:val="17"/>
          <w:u w:val="single" w:color="auto"/>
          <w:color w:val="auto"/>
        </w:rPr>
        <w:t xml:space="preserve"> A</w:t>
      </w:r>
      <w:r>
        <w:rPr>
          <w:rFonts w:ascii="Times New Roman" w:cs="Times New Roman" w:eastAsia="Times New Roman" w:hAnsi="Times New Roman"/>
          <w:sz w:val="11"/>
          <w:szCs w:val="11"/>
          <w:u w:val="single" w:color="auto"/>
          <w:color w:val="auto"/>
        </w:rPr>
        <w:t>greement</w:t>
      </w:r>
    </w:p>
    <w:p>
      <w:pPr>
        <w:spacing w:after="0" w:line="200" w:lineRule="exact"/>
        <w:rPr>
          <w:sz w:val="20"/>
          <w:szCs w:val="20"/>
          <w:color w:val="auto"/>
        </w:rPr>
      </w:pPr>
    </w:p>
    <w:p>
      <w:pPr>
        <w:jc w:val="both"/>
        <w:ind w:firstLine="1253"/>
        <w:spacing w:after="0" w:line="270" w:lineRule="auto"/>
        <w:rPr>
          <w:sz w:val="20"/>
          <w:szCs w:val="20"/>
          <w:color w:val="auto"/>
        </w:rPr>
      </w:pPr>
      <w:r>
        <w:rPr>
          <w:rFonts w:ascii="Times New Roman" w:cs="Times New Roman" w:eastAsia="Times New Roman" w:hAnsi="Times New Roman"/>
          <w:sz w:val="17"/>
          <w:szCs w:val="17"/>
          <w:color w:val="auto"/>
        </w:rPr>
        <w:t>This OPTION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between Terrestrial Energy Inc., a Delaware corporation formerly known as “HCM II Acquisition Corp.”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Optionholder indicated in the Grant Notice, under the Company’s 2025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as of the date set forth in the Grant Notice. This Agreement will be deemed to be signed by the Optionholder on the signing by the Optionholder of the Grant Notice to which it is attached.</w:t>
      </w:r>
    </w:p>
    <w:p>
      <w:pPr>
        <w:spacing w:after="0" w:line="129" w:lineRule="exact"/>
        <w:rPr>
          <w:sz w:val="20"/>
          <w:szCs w:val="20"/>
          <w:color w:val="auto"/>
        </w:rPr>
      </w:pPr>
    </w:p>
    <w:p>
      <w:pPr>
        <w:ind w:left="1260" w:hanging="628"/>
        <w:spacing w:after="0"/>
        <w:tabs>
          <w:tab w:leader="none" w:pos="12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1253"/>
        <w:spacing w:after="0" w:line="275" w:lineRule="auto"/>
        <w:rPr>
          <w:sz w:val="20"/>
          <w:szCs w:val="20"/>
          <w:color w:val="auto"/>
        </w:rPr>
      </w:pPr>
      <w:r>
        <w:rPr>
          <w:rFonts w:ascii="Times New Roman" w:cs="Times New Roman" w:eastAsia="Times New Roman" w:hAnsi="Times New Roman"/>
          <w:sz w:val="17"/>
          <w:szCs w:val="17"/>
          <w:color w:val="auto"/>
        </w:rPr>
        <w:t>All capitalized terms in this Agreement and the Grant Notice shall have the meaning assigned to them in this Agreement, or if not defined herein, in the Plan. In the event of any conflict between the terms in this Agreement and the Plan, the terms of the Plan will control. The following definitions shall be in effect under this Agreement:</w:t>
      </w:r>
    </w:p>
    <w:p>
      <w:pPr>
        <w:spacing w:after="0" w:line="120" w:lineRule="exact"/>
        <w:rPr>
          <w:sz w:val="20"/>
          <w:szCs w:val="20"/>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Exercise Agreement</w:t>
      </w:r>
      <w:r>
        <w:rPr>
          <w:rFonts w:ascii="Times New Roman" w:cs="Times New Roman" w:eastAsia="Times New Roman" w:hAnsi="Times New Roman"/>
          <w:sz w:val="17"/>
          <w:szCs w:val="17"/>
          <w:color w:val="auto"/>
        </w:rPr>
        <w:t>” means the Stock Option Exercise Agreement in the form provided by the Company.</w:t>
      </w:r>
    </w:p>
    <w:p>
      <w:pPr>
        <w:spacing w:after="0" w:line="183"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means the date on which the Option expires as specified in the Grant Notice.</w:t>
      </w:r>
    </w:p>
    <w:p>
      <w:pPr>
        <w:spacing w:after="0" w:line="196"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means the date of grant of the Option as specified in the Grant Notice.</w:t>
      </w:r>
    </w:p>
    <w:p>
      <w:pPr>
        <w:spacing w:after="0" w:line="183" w:lineRule="exact"/>
        <w:rPr>
          <w:rFonts w:ascii="Times New Roman" w:cs="Times New Roman" w:eastAsia="Times New Roman" w:hAnsi="Times New Roman"/>
          <w:sz w:val="17"/>
          <w:szCs w:val="17"/>
          <w:color w:val="auto"/>
        </w:rPr>
      </w:pPr>
    </w:p>
    <w:p>
      <w:pPr>
        <w:ind w:firstLine="1258"/>
        <w:spacing w:after="0" w:line="300" w:lineRule="auto"/>
        <w:tabs>
          <w:tab w:leader="none" w:pos="2193"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means the Notice of Option Grant accompanying this Agreement pursuant to which Optionholder has been informed of the basic terms of the Option evidenced by this Agreement.</w:t>
      </w:r>
    </w:p>
    <w:p>
      <w:pPr>
        <w:spacing w:after="0" w:line="98"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has the meaning given to that term in Section 2 of this Agreement.</w:t>
      </w:r>
    </w:p>
    <w:p>
      <w:pPr>
        <w:spacing w:after="0" w:line="196"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Period</w:t>
      </w:r>
      <w:r>
        <w:rPr>
          <w:rFonts w:ascii="Times New Roman" w:cs="Times New Roman" w:eastAsia="Times New Roman" w:hAnsi="Times New Roman"/>
          <w:sz w:val="17"/>
          <w:szCs w:val="17"/>
          <w:color w:val="auto"/>
        </w:rPr>
        <w:t>” has the meaning given to that term in Section 3 of this Agreement.</w:t>
      </w:r>
    </w:p>
    <w:p>
      <w:pPr>
        <w:spacing w:after="0" w:line="183"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Price</w:t>
      </w:r>
      <w:r>
        <w:rPr>
          <w:rFonts w:ascii="Times New Roman" w:cs="Times New Roman" w:eastAsia="Times New Roman" w:hAnsi="Times New Roman"/>
          <w:sz w:val="17"/>
          <w:szCs w:val="17"/>
          <w:color w:val="auto"/>
        </w:rPr>
        <w:t>” means the exercise price payable per Share as specified in the Grant Notice.</w:t>
      </w:r>
    </w:p>
    <w:p>
      <w:pPr>
        <w:spacing w:after="0" w:line="183" w:lineRule="exact"/>
        <w:rPr>
          <w:rFonts w:ascii="Times New Roman" w:cs="Times New Roman" w:eastAsia="Times New Roman" w:hAnsi="Times New Roman"/>
          <w:sz w:val="17"/>
          <w:szCs w:val="17"/>
          <w:color w:val="auto"/>
        </w:rPr>
      </w:pPr>
    </w:p>
    <w:p>
      <w:pPr>
        <w:jc w:val="both"/>
        <w:ind w:firstLine="632"/>
        <w:spacing w:after="0" w:line="278" w:lineRule="auto"/>
        <w:tabs>
          <w:tab w:leader="none" w:pos="125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 The Company hereby grants to Optionholder, as of the Grant Date, an option (this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to purchase up to the number of Shares specified in the Grant Notice. The Shares shall be purchasable from time to time during the Option Period at the Option Price.</w:t>
      </w:r>
    </w:p>
    <w:p>
      <w:pPr>
        <w:spacing w:after="0" w:line="130" w:lineRule="exact"/>
        <w:rPr>
          <w:rFonts w:ascii="Times New Roman" w:cs="Times New Roman" w:eastAsia="Times New Roman" w:hAnsi="Times New Roman"/>
          <w:sz w:val="17"/>
          <w:szCs w:val="17"/>
          <w:color w:val="auto"/>
        </w:rPr>
      </w:pPr>
    </w:p>
    <w:p>
      <w:pPr>
        <w:ind w:firstLine="632"/>
        <w:spacing w:after="0" w:line="300" w:lineRule="auto"/>
        <w:tabs>
          <w:tab w:leader="none" w:pos="125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Period</w:t>
      </w:r>
      <w:r>
        <w:rPr>
          <w:rFonts w:ascii="Times New Roman" w:cs="Times New Roman" w:eastAsia="Times New Roman" w:hAnsi="Times New Roman"/>
          <w:sz w:val="17"/>
          <w:szCs w:val="17"/>
          <w:color w:val="auto"/>
        </w:rPr>
        <w:t>. Unless otherwise provided in the Grant Notice, the Option shall have a term (the “</w:t>
      </w:r>
      <w:r>
        <w:rPr>
          <w:rFonts w:ascii="Times New Roman" w:cs="Times New Roman" w:eastAsia="Times New Roman" w:hAnsi="Times New Roman"/>
          <w:sz w:val="17"/>
          <w:szCs w:val="17"/>
          <w:b w:val="1"/>
          <w:bCs w:val="1"/>
          <w:i w:val="1"/>
          <w:iCs w:val="1"/>
          <w:color w:val="auto"/>
        </w:rPr>
        <w:t>Option Period</w:t>
      </w:r>
      <w:r>
        <w:rPr>
          <w:rFonts w:ascii="Times New Roman" w:cs="Times New Roman" w:eastAsia="Times New Roman" w:hAnsi="Times New Roman"/>
          <w:sz w:val="17"/>
          <w:szCs w:val="17"/>
          <w:color w:val="auto"/>
        </w:rPr>
        <w:t>”) that expires on, and the Option shall cease to be outstanding as of, the earliest to occur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65" w:name="page166"/>
    <w:bookmarkEnd w:id="165"/>
    <w:p>
      <w:pPr>
        <w:ind w:left="2200" w:hanging="942"/>
        <w:spacing w:after="0"/>
        <w:tabs>
          <w:tab w:leader="none" w:pos="220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Optionholder’s termination of Service for Cause;</w:t>
      </w:r>
    </w:p>
    <w:p>
      <w:pPr>
        <w:spacing w:after="0" w:line="222" w:lineRule="exact"/>
        <w:rPr>
          <w:rFonts w:ascii="Times New Roman" w:cs="Times New Roman" w:eastAsia="Times New Roman" w:hAnsi="Times New Roman"/>
          <w:sz w:val="17"/>
          <w:szCs w:val="17"/>
          <w:color w:val="auto"/>
        </w:rPr>
      </w:pPr>
    </w:p>
    <w:p>
      <w:pPr>
        <w:ind w:firstLine="1258"/>
        <w:spacing w:after="0" w:line="295" w:lineRule="auto"/>
        <w:tabs>
          <w:tab w:leader="none" w:pos="2193"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that is three months after the termination of the Optionholder’s termination of Service for any reason other than Cause, Disability or death;</w:t>
      </w:r>
    </w:p>
    <w:p>
      <w:pPr>
        <w:spacing w:after="0" w:line="146"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anniversary of the Optionholder’s termination of Service due to Disability;</w:t>
      </w:r>
    </w:p>
    <w:p>
      <w:pPr>
        <w:spacing w:after="0" w:line="222" w:lineRule="exact"/>
        <w:rPr>
          <w:rFonts w:ascii="Times New Roman" w:cs="Times New Roman" w:eastAsia="Times New Roman" w:hAnsi="Times New Roman"/>
          <w:sz w:val="17"/>
          <w:szCs w:val="17"/>
          <w:color w:val="auto"/>
        </w:rPr>
      </w:pPr>
    </w:p>
    <w:p>
      <w:pPr>
        <w:ind w:firstLine="1258"/>
        <w:spacing w:after="0" w:line="295" w:lineRule="auto"/>
        <w:tabs>
          <w:tab w:leader="none" w:pos="2193"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anniversary of the Optionholder’s death, if the Optionholder dies while in Service or during the three-or 12-month periods described in subsections (b) and (c) above; and</w:t>
      </w:r>
    </w:p>
    <w:p>
      <w:pPr>
        <w:spacing w:after="0" w:line="146"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close of business on the Expiration Date.</w:t>
      </w:r>
    </w:p>
    <w:p>
      <w:pPr>
        <w:spacing w:after="0" w:line="222"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Dates of Exercise</w:t>
      </w:r>
      <w:r>
        <w:rPr>
          <w:rFonts w:ascii="Times New Roman" w:cs="Times New Roman" w:eastAsia="Times New Roman" w:hAnsi="Times New Roman"/>
          <w:sz w:val="17"/>
          <w:szCs w:val="17"/>
          <w:color w:val="auto"/>
        </w:rPr>
        <w:t>. The Option shall become exercisable for the Shares as they become vested pursuant to the vesting schedule specified in the Grant Notice. All vested portions of the Option shall accumulate, and the Option shall remain exercisable for the accumulated vested portions until the Option Period expires, as described in Section 3 above. Unless otherwise provided in the Grant Notice, any unvested portions of the Option shall be forfeited upon the Optionholder’s termination of Service for any reason.</w:t>
      </w:r>
    </w:p>
    <w:p>
      <w:pPr>
        <w:spacing w:after="0" w:line="128"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Upon a Change in Control, the Options shall be subject to the provisions of the Plan, and, if applicable, the Grant Notice, regarding a Change in Control.</w:t>
      </w:r>
    </w:p>
    <w:p>
      <w:pPr>
        <w:spacing w:after="0" w:line="146"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 Privileges</w:t>
      </w:r>
      <w:r>
        <w:rPr>
          <w:rFonts w:ascii="Times New Roman" w:cs="Times New Roman" w:eastAsia="Times New Roman" w:hAnsi="Times New Roman"/>
          <w:sz w:val="17"/>
          <w:szCs w:val="17"/>
          <w:color w:val="auto"/>
        </w:rPr>
        <w:t>. The Optionholder shall not have any rights as a shareholder with respect to the Shares until the Optionholder becomes the holder of record of such Shares, and no adjustments shall be made for dividends or other distributions or other rights as to which there is a record date preceding the date such Optionholder becomes the holder of record of such Shares.</w:t>
      </w:r>
    </w:p>
    <w:p>
      <w:pPr>
        <w:spacing w:after="0" w:line="137"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Manner of Exercising Option</w:t>
      </w:r>
      <w:r>
        <w:rPr>
          <w:rFonts w:ascii="Times New Roman" w:cs="Times New Roman" w:eastAsia="Times New Roman" w:hAnsi="Times New Roman"/>
          <w:sz w:val="17"/>
          <w:szCs w:val="17"/>
          <w:color w:val="auto"/>
        </w:rPr>
        <w:t>. To exercise an Option, the Optionholder shall deliver written notice to the Company specifying the number of Shares for which the Option is exercised. In addition, the Optionholder (or any other person or persons exercising the Option) must:</w:t>
      </w:r>
    </w:p>
    <w:p>
      <w:pPr>
        <w:spacing w:after="0" w:line="124"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and deliver to the Company the Exercise Agreement.</w:t>
      </w:r>
    </w:p>
    <w:p>
      <w:pPr>
        <w:spacing w:after="0" w:line="222" w:lineRule="exact"/>
        <w:rPr>
          <w:rFonts w:ascii="Times New Roman" w:cs="Times New Roman" w:eastAsia="Times New Roman" w:hAnsi="Times New Roman"/>
          <w:sz w:val="17"/>
          <w:szCs w:val="17"/>
          <w:color w:val="auto"/>
        </w:rPr>
      </w:pPr>
    </w:p>
    <w:p>
      <w:pPr>
        <w:ind w:left="2200" w:hanging="942"/>
        <w:spacing w:after="0"/>
        <w:tabs>
          <w:tab w:leader="none" w:pos="220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the aggregate Option Price for the purchased Shares in one or more of the methods provided for in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w:t>
      </w:r>
    </w:p>
    <w:p>
      <w:pPr>
        <w:spacing w:after="0" w:line="204" w:lineRule="exact"/>
        <w:rPr>
          <w:rFonts w:ascii="Times New Roman" w:cs="Times New Roman" w:eastAsia="Times New Roman" w:hAnsi="Times New Roman"/>
          <w:sz w:val="17"/>
          <w:szCs w:val="17"/>
          <w:color w:val="auto"/>
        </w:rPr>
      </w:pPr>
    </w:p>
    <w:p>
      <w:pPr>
        <w:ind w:firstLine="1258"/>
        <w:spacing w:after="0" w:line="295" w:lineRule="auto"/>
        <w:tabs>
          <w:tab w:leader="none" w:pos="219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Company appropriate documentation that the person or persons exercising the Option (if other than Optionholder) have the right to exercise the Option.</w:t>
      </w:r>
    </w:p>
    <w:p>
      <w:pPr>
        <w:spacing w:after="0" w:line="146" w:lineRule="exact"/>
        <w:rPr>
          <w:rFonts w:ascii="Times New Roman" w:cs="Times New Roman" w:eastAsia="Times New Roman" w:hAnsi="Times New Roman"/>
          <w:sz w:val="17"/>
          <w:szCs w:val="17"/>
          <w:color w:val="auto"/>
        </w:rPr>
      </w:pPr>
    </w:p>
    <w:p>
      <w:pPr>
        <w:ind w:firstLine="1258"/>
        <w:spacing w:after="0" w:line="295" w:lineRule="auto"/>
        <w:tabs>
          <w:tab w:leader="none" w:pos="219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and deliver to the Company such written representations as may be requested by the Company for it to comply with the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66" w:name="page167"/>
    <w:bookmarkEnd w:id="166"/>
    <w:p>
      <w:pPr>
        <w:ind w:firstLine="1258"/>
        <w:spacing w:after="0" w:line="295" w:lineRule="auto"/>
        <w:tabs>
          <w:tab w:leader="none" w:pos="2193"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appropriate arrangements with the Company for the satisfaction of all applicable income, employment, and other tax withholding requirements applicable to the Option exercise.</w:t>
      </w:r>
    </w:p>
    <w:p>
      <w:pPr>
        <w:spacing w:after="0" w:line="146"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 and Repurchase Rights</w:t>
      </w:r>
      <w:r>
        <w:rPr>
          <w:rFonts w:ascii="Times New Roman" w:cs="Times New Roman" w:eastAsia="Times New Roman" w:hAnsi="Times New Roman"/>
          <w:sz w:val="17"/>
          <w:szCs w:val="17"/>
          <w:color w:val="auto"/>
        </w:rPr>
        <w:t>. Optionholder hereby acknowledges and agrees that the Option is subject to certain limitations on transferability as set forth in the Plan.</w:t>
      </w:r>
    </w:p>
    <w:p>
      <w:pPr>
        <w:spacing w:after="0" w:line="106"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 and Regulations</w:t>
      </w:r>
      <w:r>
        <w:rPr>
          <w:rFonts w:ascii="Times New Roman" w:cs="Times New Roman" w:eastAsia="Times New Roman" w:hAnsi="Times New Roman"/>
          <w:sz w:val="17"/>
          <w:szCs w:val="17"/>
          <w:color w:val="auto"/>
        </w:rPr>
        <w:t>. The issuance, transfer, vesting and ownership of Shares shall be subject to compliance by the Company and Optionholder with all applicable requirements of federal and state securities laws and with all applicable requirements of any stock exchange on which the Stock may be listed at the time of such issuance or transfer. Optionholder agrees to cooperate with the Company to ensure compliance with such laws and requirements.</w:t>
      </w:r>
    </w:p>
    <w:p>
      <w:pPr>
        <w:spacing w:after="0" w:line="141" w:lineRule="exact"/>
        <w:rPr>
          <w:rFonts w:ascii="Times New Roman" w:cs="Times New Roman" w:eastAsia="Times New Roman" w:hAnsi="Times New Roman"/>
          <w:sz w:val="17"/>
          <w:szCs w:val="17"/>
          <w:color w:val="auto"/>
        </w:rPr>
      </w:pPr>
    </w:p>
    <w:p>
      <w:pPr>
        <w:jc w:val="both"/>
        <w:ind w:firstLine="632"/>
        <w:spacing w:after="0" w:line="273"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This Agreement shall be binding upon and inure to the benefit of the successors and assigns of the Company. Subject to the restrictions on transfer set forth herein, this Agreement shall be binding upon Optionholder and Optionholders’s heirs, executors, administrators, legal representatives, successors and assigns.</w:t>
      </w:r>
    </w:p>
    <w:p>
      <w:pPr>
        <w:spacing w:after="0" w:line="338" w:lineRule="exact"/>
        <w:rPr>
          <w:rFonts w:ascii="Times New Roman" w:cs="Times New Roman" w:eastAsia="Times New Roman" w:hAnsi="Times New Roman"/>
          <w:sz w:val="17"/>
          <w:szCs w:val="17"/>
          <w:color w:val="auto"/>
        </w:rPr>
      </w:pPr>
    </w:p>
    <w:p>
      <w:pPr>
        <w:jc w:val="both"/>
        <w:ind w:firstLine="632"/>
        <w:spacing w:after="0" w:line="264"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Every notice or other communication relating to this Agreement shall be in writing, and shall be mailed via certified mail or overnight courier, postage prepaid, to the party for whom it is intended at such address as may from time to time be designated by it in a notice mailed or delivered to the other party as herein provided; provided that, unless and until some other address be so designated, all notices or communications by Optionholder to the Company shall be mailed or delivered to the Company at its principal executive office, and all notices or communications by the Company to Optionholder may be given to Optionholder personally or may be mailed to Optionholder at the address as recorded in the records of the Company.</w:t>
      </w:r>
    </w:p>
    <w:p>
      <w:pPr>
        <w:spacing w:after="0" w:line="132" w:lineRule="exact"/>
        <w:rPr>
          <w:rFonts w:ascii="Times New Roman" w:cs="Times New Roman" w:eastAsia="Times New Roman" w:hAnsi="Times New Roman"/>
          <w:sz w:val="17"/>
          <w:szCs w:val="17"/>
          <w:color w:val="auto"/>
        </w:rPr>
      </w:pPr>
    </w:p>
    <w:p>
      <w:pPr>
        <w:jc w:val="both"/>
        <w:ind w:firstLine="632"/>
        <w:spacing w:after="0" w:line="261"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Subject to Plan; Exercise Agreement</w:t>
      </w:r>
      <w:r>
        <w:rPr>
          <w:rFonts w:ascii="Times New Roman" w:cs="Times New Roman" w:eastAsia="Times New Roman" w:hAnsi="Times New Roman"/>
          <w:sz w:val="17"/>
          <w:szCs w:val="17"/>
          <w:color w:val="auto"/>
        </w:rPr>
        <w:t>. This Agreement and the Option are made and granted pursuant to the Plan and are in all respects limited by and subject to the terms of the Plan. Optionholder hereby acknowledges and agrees that (a) the Company has made available to Optionholder copies of the Plan and the form of Exercise Agreement and (b) Optionholder has had the opportunity to review such documents and this Agreement and to consult with the Optionholder’s individual tax advisor and legal counsel with respect to the same. Optionholder further agrees to be bound by the terms of the Plan and the terms of the Option as set forth in this Agreement. Optionholder understands that any Shares purchased hereunder will be subject to the terms set forth in the Exercise Agreement to be executed by Optionholder and the Company upon any exercise of the Option. In the event of any conflict between this Agreement and the Plan, the provisions of the Plan will control. All decisions of the Committee with respect to any question or issue arising under the Plan or this Agreement shall be conclusive and binding on all persons having an interest in the Option.</w:t>
      </w:r>
    </w:p>
    <w:p>
      <w:pPr>
        <w:spacing w:after="0" w:line="149"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of the Plan or this Agreement shall not affect the validity or enforceability of any other provision of the Plan 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color w:val="auto"/>
        </w:rPr>
        <w:t>this Agreement, and each provision of the Plan and this Agreement shall be severable and enforceable to the extent permitted by law.</w:t>
      </w:r>
    </w:p>
    <w:p>
      <w:pPr>
        <w:spacing w:after="0" w:line="183" w:lineRule="exact"/>
        <w:rPr>
          <w:sz w:val="20"/>
          <w:szCs w:val="20"/>
          <w:color w:val="auto"/>
        </w:rPr>
      </w:pPr>
    </w:p>
    <w:p>
      <w:pPr>
        <w:jc w:val="both"/>
        <w:ind w:firstLine="632"/>
        <w:spacing w:after="0" w:line="269"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substantive laws of the State of Delaware without regard to its conflict of laws principles. If any provision of this Agreement is determined by a court of law to be illegal or unenforceable, then such provision will be enforced to the maximum extent possible and the other provisions will remain fully effective and enforceable.</w:t>
      </w:r>
    </w:p>
    <w:p>
      <w:pPr>
        <w:spacing w:after="0" w:line="141" w:lineRule="exact"/>
        <w:rPr>
          <w:rFonts w:ascii="Times New Roman" w:cs="Times New Roman" w:eastAsia="Times New Roman" w:hAnsi="Times New Roman"/>
          <w:sz w:val="17"/>
          <w:szCs w:val="17"/>
          <w:color w:val="auto"/>
        </w:rPr>
      </w:pPr>
    </w:p>
    <w:p>
      <w:pPr>
        <w:jc w:val="both"/>
        <w:ind w:firstLine="632"/>
        <w:spacing w:after="0" w:line="269"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If the Shares covered by this Agreement exceed, as of the Grant Date, the number of Shares which may be issued under the Plan as last approved by the Company’s shareholders, then the Option shall be void with respect to such excess Shares, unless shareholder approval of an amendment sufficiently increasing the number of Shares issuable under the Plan is obtained in accordance with the provisions of the Plan.</w:t>
      </w:r>
    </w:p>
    <w:p>
      <w:pPr>
        <w:spacing w:after="0" w:line="128" w:lineRule="exact"/>
        <w:rPr>
          <w:rFonts w:ascii="Times New Roman" w:cs="Times New Roman" w:eastAsia="Times New Roman" w:hAnsi="Times New Roman"/>
          <w:sz w:val="17"/>
          <w:szCs w:val="17"/>
          <w:color w:val="auto"/>
        </w:rPr>
      </w:pPr>
    </w:p>
    <w:p>
      <w:pPr>
        <w:jc w:val="both"/>
        <w:ind w:firstLine="632"/>
        <w:spacing w:after="0" w:line="266"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Discretionary Nature of Plan</w:t>
      </w:r>
      <w:r>
        <w:rPr>
          <w:rFonts w:ascii="Times New Roman" w:cs="Times New Roman" w:eastAsia="Times New Roman" w:hAnsi="Times New Roman"/>
          <w:sz w:val="17"/>
          <w:szCs w:val="17"/>
          <w:color w:val="auto"/>
        </w:rPr>
        <w:t>. The Plan is discretionary and may be amended, cancelled or terminated by the Company at any time, in its discretion. The grant of the Options hereunder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Optionholder’s employment with or engagement by the Company or its Affiliates.</w:t>
      </w:r>
    </w:p>
    <w:p>
      <w:pPr>
        <w:spacing w:after="0" w:line="130"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Committee has the right to amend, alter, suspend, discontinue or cancel this Agreement; provided, that, no such amendment shall materially and adversely affect Optionholder’s rights under this Agreement without Optionholder’s consent.</w:t>
      </w:r>
    </w:p>
    <w:p>
      <w:pPr>
        <w:spacing w:after="0" w:line="119"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Any provision contained in this Agreement may be waived, either generally or in any particular instance, by the Committee, but only to the extent permitted under the Plan.</w:t>
      </w:r>
    </w:p>
    <w:p>
      <w:pPr>
        <w:spacing w:after="0" w:line="106"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 Will Service</w:t>
      </w:r>
      <w:r>
        <w:rPr>
          <w:rFonts w:ascii="Times New Roman" w:cs="Times New Roman" w:eastAsia="Times New Roman" w:hAnsi="Times New Roman"/>
          <w:sz w:val="17"/>
          <w:szCs w:val="17"/>
          <w:color w:val="auto"/>
        </w:rPr>
        <w:t>. Neither the Plan nor this Agreement shall confer upon Optionholder any right to be retained as an employee or consultant of the Company or any Affiliate. Further, nothing in the Plan or this Agreement shall be construed to limit the discretion of the Company to terminate Optionholder’s Service at any time, with or without Cause.</w:t>
      </w:r>
    </w:p>
    <w:p>
      <w:pPr>
        <w:spacing w:after="0" w:line="124"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Terms Applicable to an Incentive Stock Option</w:t>
      </w:r>
      <w:r>
        <w:rPr>
          <w:rFonts w:ascii="Times New Roman" w:cs="Times New Roman" w:eastAsia="Times New Roman" w:hAnsi="Times New Roman"/>
          <w:sz w:val="17"/>
          <w:szCs w:val="17"/>
          <w:color w:val="auto"/>
        </w:rPr>
        <w:t>.</w:t>
      </w:r>
    </w:p>
    <w:p>
      <w:pPr>
        <w:spacing w:after="0" w:line="196" w:lineRule="exact"/>
        <w:rPr>
          <w:rFonts w:ascii="Times New Roman" w:cs="Times New Roman" w:eastAsia="Times New Roman" w:hAnsi="Times New Roman"/>
          <w:sz w:val="17"/>
          <w:szCs w:val="17"/>
          <w:color w:val="auto"/>
        </w:rPr>
      </w:pPr>
    </w:p>
    <w:p>
      <w:pPr>
        <w:jc w:val="both"/>
        <w:ind w:firstLine="1885"/>
        <w:spacing w:after="0" w:line="265" w:lineRule="auto"/>
        <w:tabs>
          <w:tab w:leader="none" w:pos="2193"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Option is initially designated as an Incentive Stock Option in the Grant Notice, the Option shall cease to qualify for favorable tax treatment as an Incentive Stock Option if (and to the extent) the Option is exercised for one or more Shares: (i) more than three months after the date Optionholder ceases to be an Eligible Employee for any reason other than death or Disability or (ii) more than 12 months after the date Optionholder ceases to be an Eligible Employee by reason of Disability. Nothing in this Section shall require that the Optionholder be allowed to exercise this Option, in whole or in part, after the expiration of the periods specified in Section 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68" w:name="page169"/>
    <w:bookmarkEnd w:id="168"/>
    <w:p>
      <w:pPr>
        <w:jc w:val="both"/>
        <w:ind w:firstLine="1885"/>
        <w:spacing w:after="0" w:line="266" w:lineRule="auto"/>
        <w:tabs>
          <w:tab w:leader="none" w:pos="2193"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Optionholder makes a disposition (as defined in Section 424(c) of the Code) of any Shares acquired pursuant to the exercise of an Incentive Stock Option prior to the expiration of two years from the date on which the Incentive Stock Option was granted or prior to the expiration of one year from the date on which the Option was exercised, the Optionholder shall send written notice to the Company at the Company’s principal place of business of the date of such disposition, the number of Shares disposed of, the amount of proceeds received from such disposition and any other information relating to such disposition as the Company may reasonably request.</w:t>
      </w:r>
    </w:p>
    <w:p>
      <w:pPr>
        <w:spacing w:after="0" w:line="169" w:lineRule="exact"/>
        <w:rPr>
          <w:rFonts w:ascii="Times New Roman" w:cs="Times New Roman" w:eastAsia="Times New Roman" w:hAnsi="Times New Roman"/>
          <w:sz w:val="17"/>
          <w:szCs w:val="17"/>
          <w:color w:val="auto"/>
        </w:rPr>
      </w:pPr>
    </w:p>
    <w:p>
      <w:pPr>
        <w:ind w:left="1260" w:hanging="628"/>
        <w:spacing w:after="0"/>
        <w:tabs>
          <w:tab w:leader="none" w:pos="1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jc w:val="both"/>
        <w:ind w:firstLine="1885"/>
        <w:spacing w:after="0" w:line="258" w:lineRule="auto"/>
        <w:tabs>
          <w:tab w:leader="none" w:pos="2193"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to deliver Shares upon the exercise of the Option shall be subject to the Optionholder’s satisfaction of all applicable federal, state and local income and other tax withholding requirements. Upon exercise of the Option, the Optionholder shall make appropriate arrangements with the Company to provide for the amount of withholding required by Sections 3102 and 3402 of the Code and applicable state income tax laws. The Committee may, in its sole discretion, permit the Optionholder to pay all such amounts of tax withholding, or any part thereof, by electing (i) to tender a cash payment, (ii) to have the Company withhold from Shares otherwise issuable to the Optionholder a number of Shares having a value equal to the amount required to be withheld or such lesser amount as may be elected by the Optionholder; provided however, that the number of Shares so withheld shall not exceed the maximum amount required to be withheld (or such lesser amount as may be necessary to avoid classification as a liability under applicable accounting standards), or (iii) to transfer to the Company a number of Shares that were acquired by the Optionholder more than six months prior to the transfer to the Company and that have a value equal to the amount required to be withheld or such lesser amount as may be elected by the Optionholder. All elections shall be subject to the approval or disapproval of the Committee. The value of the Shares to be withheld shall be based on the Fair Market Value of the Shares on the date that the amount of tax to be withheld is to be determined (the “</w:t>
      </w:r>
      <w:r>
        <w:rPr>
          <w:rFonts w:ascii="Times New Roman" w:cs="Times New Roman" w:eastAsia="Times New Roman" w:hAnsi="Times New Roman"/>
          <w:sz w:val="17"/>
          <w:szCs w:val="17"/>
          <w:b w:val="1"/>
          <w:bCs w:val="1"/>
          <w:i w:val="1"/>
          <w:iCs w:val="1"/>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Any such election by the Optionholder to have Shares withheld for this purpose will be subject to the following restrictions: (x)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elections must be made prior to the Tax Date; (y) all elections shall be irrevocable; (z) if the Optionholder is an officer or director of the Company within the meaning of Section 16 of the Securities Exchange Act of 1934, as it may be amended from time to time, (“</w:t>
      </w:r>
      <w:r>
        <w:rPr>
          <w:rFonts w:ascii="Times New Roman" w:cs="Times New Roman" w:eastAsia="Times New Roman" w:hAnsi="Times New Roman"/>
          <w:sz w:val="17"/>
          <w:szCs w:val="17"/>
          <w:b w:val="1"/>
          <w:bCs w:val="1"/>
          <w:i w:val="1"/>
          <w:iCs w:val="1"/>
          <w:color w:val="auto"/>
        </w:rPr>
        <w:t>Section 16</w:t>
      </w:r>
      <w:r>
        <w:rPr>
          <w:rFonts w:ascii="Times New Roman" w:cs="Times New Roman" w:eastAsia="Times New Roman" w:hAnsi="Times New Roman"/>
          <w:sz w:val="17"/>
          <w:szCs w:val="17"/>
          <w:color w:val="auto"/>
        </w:rPr>
        <w:t>”), the Optionholder must satisfy the requirements of Section 16 and any applicable rules thereunder with respect to the use of Shares to satisfy such tax withholding obligation.</w:t>
      </w:r>
    </w:p>
    <w:p>
      <w:pPr>
        <w:spacing w:after="0" w:line="397" w:lineRule="exact"/>
        <w:rPr>
          <w:rFonts w:ascii="Times New Roman" w:cs="Times New Roman" w:eastAsia="Times New Roman" w:hAnsi="Times New Roman"/>
          <w:sz w:val="17"/>
          <w:szCs w:val="17"/>
          <w:color w:val="auto"/>
        </w:rPr>
      </w:pPr>
    </w:p>
    <w:p>
      <w:pPr>
        <w:jc w:val="both"/>
        <w:ind w:firstLine="1885"/>
        <w:spacing w:after="0" w:line="266" w:lineRule="auto"/>
        <w:tabs>
          <w:tab w:leader="none" w:pos="2193"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action the Company takes with respect to any or all income tax, social insurance, payroll tax, or other tax-related withholding (“</w:t>
      </w:r>
      <w:r>
        <w:rPr>
          <w:rFonts w:ascii="Times New Roman" w:cs="Times New Roman" w:eastAsia="Times New Roman" w:hAnsi="Times New Roman"/>
          <w:sz w:val="17"/>
          <w:szCs w:val="17"/>
          <w:b w:val="1"/>
          <w:bCs w:val="1"/>
          <w:i w:val="1"/>
          <w:iCs w:val="1"/>
          <w:color w:val="auto"/>
        </w:rPr>
        <w:t>Tax-Related Items</w:t>
      </w:r>
      <w:r>
        <w:rPr>
          <w:rFonts w:ascii="Times New Roman" w:cs="Times New Roman" w:eastAsia="Times New Roman" w:hAnsi="Times New Roman"/>
          <w:sz w:val="17"/>
          <w:szCs w:val="17"/>
          <w:color w:val="auto"/>
        </w:rPr>
        <w:t>”), the ultimate liability for all Tax-Related Items is and remains the Optionholder’s responsibility and the Company (i) makes no representation or undertakings regarding the treatment of any Tax-Related Items in connection with the grant, vesting or exercise of the Options or the subsequent sale of any Shares; and (ii) does not commit to structure the Options to reduce or eliminate the Optionholder’s liability for Tax-Related Items.</w:t>
      </w:r>
    </w:p>
    <w:p>
      <w:pPr>
        <w:spacing w:after="0" w:line="169" w:lineRule="exact"/>
        <w:rPr>
          <w:rFonts w:ascii="Times New Roman" w:cs="Times New Roman" w:eastAsia="Times New Roman" w:hAnsi="Times New Roman"/>
          <w:sz w:val="17"/>
          <w:szCs w:val="17"/>
          <w:color w:val="auto"/>
        </w:rPr>
      </w:pPr>
    </w:p>
    <w:p>
      <w:pPr>
        <w:ind w:firstLine="632"/>
        <w:spacing w:after="0" w:line="295" w:lineRule="auto"/>
        <w:tabs>
          <w:tab w:leader="none" w:pos="125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In accordance with Section 13.6 of the Plan, by accepting the Option, Optionholder acknowledges that Optionholder is fully bound by, and subject to all of the terms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7"/>
          <w:szCs w:val="17"/>
          <w:color w:val="auto"/>
        </w:rPr>
        <w:t>and conditions of, the Clawback Policy, and Optionholder agrees to abide by the terms of the Clawback Policy. To the extent that the Board determines that all or a portion of the Option or the Shares issued on exercise of the Option must be cancelled, forfeited, repaid, or otherwise recovered by the Company, Optionholder shall promptly take whatever action is necessary to effectuate such cancellation, forfeiture, repayment, or recovery. In the event of any conflict between the terms of the Clawback Policy and the terms of the Plan or this Agreement, the terms of the Clawback Policy shall govern.</w:t>
      </w:r>
    </w:p>
    <w:p>
      <w:pPr>
        <w:spacing w:after="0" w:line="131" w:lineRule="exact"/>
        <w:rPr>
          <w:sz w:val="20"/>
          <w:szCs w:val="20"/>
          <w:color w:val="auto"/>
        </w:rPr>
      </w:pPr>
    </w:p>
    <w:p>
      <w:pPr>
        <w:jc w:val="both"/>
        <w:ind w:firstLine="632"/>
        <w:spacing w:after="0" w:line="269" w:lineRule="auto"/>
        <w:tabs>
          <w:tab w:leader="none" w:pos="125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Notify</w:t>
      </w:r>
      <w:r>
        <w:rPr>
          <w:rFonts w:ascii="Times New Roman" w:cs="Times New Roman" w:eastAsia="Times New Roman" w:hAnsi="Times New Roman"/>
          <w:sz w:val="17"/>
          <w:szCs w:val="17"/>
          <w:color w:val="auto"/>
        </w:rPr>
        <w:t>. The Company shall have no duty or obligation to Optionholder to advise as to the time or manner of exercising his or her Option. Furthermore, the Company shall have no duty or obligation to warn or otherwise advise Optionholder of a pending termination or expiration of an Option or a possible period in which the Option may not be exercised. The Company has no duty or obligation to minimize the tax consequences of an Option to the Optionholder.</w:t>
      </w:r>
    </w:p>
    <w:p>
      <w:pPr>
        <w:spacing w:after="0" w:line="141" w:lineRule="exact"/>
        <w:rPr>
          <w:rFonts w:ascii="Times New Roman" w:cs="Times New Roman" w:eastAsia="Times New Roman" w:hAnsi="Times New Roman"/>
          <w:sz w:val="17"/>
          <w:szCs w:val="17"/>
          <w:color w:val="auto"/>
        </w:rPr>
      </w:pPr>
    </w:p>
    <w:p>
      <w:pPr>
        <w:jc w:val="both"/>
        <w:ind w:firstLine="632"/>
        <w:spacing w:after="0" w:line="261" w:lineRule="auto"/>
        <w:tabs>
          <w:tab w:leader="none" w:pos="125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Advice Regarding Grant</w:t>
      </w:r>
      <w:r>
        <w:rPr>
          <w:rFonts w:ascii="Times New Roman" w:cs="Times New Roman" w:eastAsia="Times New Roman" w:hAnsi="Times New Roman"/>
          <w:sz w:val="17"/>
          <w:szCs w:val="17"/>
          <w:color w:val="auto"/>
        </w:rPr>
        <w:t>. The Company is not providing any tax, legal or financial advice, nor is the Company making any recommendations regarding Optionholder’s participation in the Plan, or Optionholder’s acquisition or sale of the underlying Shares. Optionholder is hereby advised to consult with his or her personal tax, legal, and financial advisors regarding his or her participation in the Plan before taking any action related to the Plan. Optionholder has reviewed with his or her tax advisors the U.S. federal, state, and local tax consequences of this investment and the transactions contemplated by this Agreement. With respect to such matters, Optionholder relies solely on such advisors and not on any statements or representations of the Company or any of its agents, written or oral. Optionholder understands that Optionholder (and not the Company) shall be responsible for Optionholder’s own tax liability that may arise as a result of this investment or the transactions contemplated by this Agreement.</w:t>
      </w:r>
    </w:p>
    <w:p>
      <w:pPr>
        <w:spacing w:after="0" w:line="139" w:lineRule="exact"/>
        <w:rPr>
          <w:rFonts w:ascii="Times New Roman" w:cs="Times New Roman" w:eastAsia="Times New Roman" w:hAnsi="Times New Roman"/>
          <w:sz w:val="17"/>
          <w:szCs w:val="17"/>
          <w:color w:val="auto"/>
        </w:rPr>
      </w:pPr>
    </w:p>
    <w:p>
      <w:pPr>
        <w:jc w:val="both"/>
        <w:ind w:firstLine="632"/>
        <w:spacing w:after="0" w:line="264" w:lineRule="auto"/>
        <w:tabs>
          <w:tab w:leader="none" w:pos="125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Agreement is intended to comply with, or be exempt from, the provisions of Section 409A of the Code and shall be construed and interpreted in accordance with such intent. The Company reserves the right to amend this Agreement to the extent it reasonably determines is necessary in order to avoid any adverse tax consequences under Section 409A of the Code. Notwithstanding anything to the contrary, none of the Company, its officers, directors, employees, agents or representatives guarantees that this Agreement complies with, or is exempt from, the provisions of Section 409A of the Code and none of the foregoing shall have any liability for the failure of this Agreement to comply with, or be exempt from, the provisions of Section 409A of the Code.</w:t>
      </w:r>
    </w:p>
    <w:p>
      <w:pPr>
        <w:spacing w:after="0" w:line="132"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Other Benefits</w:t>
      </w:r>
      <w:r>
        <w:rPr>
          <w:rFonts w:ascii="Times New Roman" w:cs="Times New Roman" w:eastAsia="Times New Roman" w:hAnsi="Times New Roman"/>
          <w:sz w:val="17"/>
          <w:szCs w:val="17"/>
          <w:color w:val="auto"/>
        </w:rPr>
        <w:t>. The value of the Options shall not be part of the Optionholder’s normal or expected compensation for purposes of calculating any severance, retirement, welfare, insurance or similar employee benefit unless such benefit explicitly provides for inclusion of the applicable value.</w:t>
      </w:r>
    </w:p>
    <w:p>
      <w:pPr>
        <w:spacing w:after="0" w:line="137" w:lineRule="exact"/>
        <w:rPr>
          <w:rFonts w:ascii="Times New Roman" w:cs="Times New Roman" w:eastAsia="Times New Roman" w:hAnsi="Times New Roman"/>
          <w:sz w:val="17"/>
          <w:szCs w:val="17"/>
          <w:color w:val="auto"/>
        </w:rPr>
      </w:pPr>
    </w:p>
    <w:p>
      <w:pPr>
        <w:jc w:val="both"/>
        <w:ind w:firstLine="632"/>
        <w:spacing w:after="0" w:line="275" w:lineRule="auto"/>
        <w:tabs>
          <w:tab w:leader="none" w:pos="125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Optionholder hereby explicitly and unambiguously consents to the collection, use and transfer, whether in electronic or other form, of Optionholder’s Personal Data (as described below) by and among, as applicable, the Company and any Subsidiary or Affiliate or third parties as may be selected by the Company for the exclusive purpose of implementing,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70" w:name="page171"/>
    <w:bookmarkEnd w:id="170"/>
    <w:p>
      <w:pPr>
        <w:jc w:val="both"/>
        <w:spacing w:after="0" w:line="259" w:lineRule="auto"/>
        <w:rPr>
          <w:sz w:val="20"/>
          <w:szCs w:val="20"/>
          <w:color w:val="auto"/>
        </w:rPr>
      </w:pPr>
      <w:r>
        <w:rPr>
          <w:rFonts w:ascii="Times New Roman" w:cs="Times New Roman" w:eastAsia="Times New Roman" w:hAnsi="Times New Roman"/>
          <w:sz w:val="17"/>
          <w:szCs w:val="17"/>
          <w:color w:val="auto"/>
        </w:rPr>
        <w:t>administering, and managing Optionholder’s participation in the Plan. Optionholder understands that refusal or withdrawal of consent will affect Optionholder’s ability to participate in the Plan; without providing consent, Optionholder will not be able to participate in the Plan or realize benefits (if any) from the Option. Optionholder understands that the Company and any Subsidiary or Affiliate or designated third parties may hold personal information about Optionholder, including, but not limited to, Optionholder’s name, home address and telephone number, date of birth, social insurance number or other identification number, salary, nationality, job title, any shares of stock or directorships held in the Company or any Subsidiary or Affiliate, details of all Options or any other entitlement to Shares awarded, canceled, exercised, vested, unvested or outstanding in Optionholder’s favor (“</w:t>
      </w:r>
      <w:r>
        <w:rPr>
          <w:rFonts w:ascii="Times New Roman" w:cs="Times New Roman" w:eastAsia="Times New Roman" w:hAnsi="Times New Roman"/>
          <w:sz w:val="17"/>
          <w:szCs w:val="17"/>
          <w:b w:val="1"/>
          <w:bCs w:val="1"/>
          <w:i w:val="1"/>
          <w:iCs w:val="1"/>
          <w:color w:val="auto"/>
        </w:rPr>
        <w:t>Personal Data</w:t>
      </w:r>
      <w:r>
        <w:rPr>
          <w:rFonts w:ascii="Times New Roman" w:cs="Times New Roman" w:eastAsia="Times New Roman" w:hAnsi="Times New Roman"/>
          <w:sz w:val="17"/>
          <w:szCs w:val="17"/>
          <w:color w:val="auto"/>
        </w:rPr>
        <w:t>”). Optionholder understands that Personal Data may be transferred to any Subsidiary or Affiliate or third parties assisting in the implementation, administration and management of the Plan, that these recipients may be located in the United States, Optionholder’s country of residence, or elsewhere, and that the recipient’s country may have different data privacy laws and protections than Optionholder’s country of residence. In particular, the Company may transfer Personal Data to the broker or stock plan administrator assisting with the Plan, to its legal counsel and tax/accounting advisor, and to the Subsidiary or Affiliate that is Optionholder’s employer and its payroll provider.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351790</wp:posOffset>
            </wp:positionV>
            <wp:extent cx="629158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330" w:right="9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9"/>
          <w:szCs w:val="19"/>
          <w:b w:val="1"/>
          <w:bCs w:val="1"/>
          <w:color w:val="auto"/>
        </w:rPr>
        <w:t>Exhibit 10.13</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OPTION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OPTION AGREEMENT dated as of ____, 20__ (the “</w:t>
      </w:r>
      <w:r>
        <w:rPr>
          <w:rFonts w:ascii="Times New Roman" w:cs="Times New Roman" w:eastAsia="Times New Roman" w:hAnsi="Times New Roman"/>
          <w:sz w:val="19"/>
          <w:szCs w:val="19"/>
          <w:b w:val="1"/>
          <w:bCs w:val="1"/>
          <w:color w:val="auto"/>
        </w:rPr>
        <w:t>Date of Grant</w:t>
      </w:r>
      <w:r>
        <w:rPr>
          <w:rFonts w:ascii="Times New Roman" w:cs="Times New Roman" w:eastAsia="Times New Roman" w:hAnsi="Times New Roman"/>
          <w:sz w:val="19"/>
          <w:szCs w:val="19"/>
          <w:color w:val="auto"/>
        </w:rPr>
        <w:t>”) is made by and between</w:t>
      </w:r>
    </w:p>
    <w:p>
      <w:pPr>
        <w:spacing w:after="0" w:line="212"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9"/>
          <w:szCs w:val="19"/>
          <w:b w:val="1"/>
          <w:bCs w:val="1"/>
          <w:color w:val="auto"/>
        </w:rPr>
        <w:t>TERRESTRIAL ENERGY INC.</w:t>
      </w:r>
      <w:r>
        <w:rPr>
          <w:rFonts w:ascii="Times New Roman" w:cs="Times New Roman" w:eastAsia="Times New Roman" w:hAnsi="Times New Roman"/>
          <w:sz w:val="19"/>
          <w:szCs w:val="19"/>
          <w:color w:val="auto"/>
        </w:rPr>
        <w:t>, a Delaware corporation, with a registered office at 2730 W Tyvola Road, Suite 100,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Charlotte, NC 28217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 of _____________ (the “</w:t>
      </w:r>
      <w:r>
        <w:rPr>
          <w:rFonts w:ascii="Times New Roman" w:cs="Times New Roman" w:eastAsia="Times New Roman" w:hAnsi="Times New Roman"/>
          <w:sz w:val="19"/>
          <w:szCs w:val="19"/>
          <w:b w:val="1"/>
          <w:bCs w:val="1"/>
          <w:color w:val="auto"/>
        </w:rPr>
        <w:t>Optionee</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640" w:right="20" w:hanging="635"/>
        <w:spacing w:after="0" w:line="256" w:lineRule="auto"/>
        <w:tabs>
          <w:tab w:leader="none" w:pos="6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board of directors (the “</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has approved and adopted the Terrestrial Energy Inc. Second Amended and Restated 2024 Stock Option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whereby the Board is authorized to grant stock options to purchase Common Shares to directors, officers, employees and consultants of the Corporation, any Subsidiary, and such other persons as the Plan Administrator selects in accordance with the terms of the Plan;</w:t>
      </w:r>
    </w:p>
    <w:p>
      <w:pPr>
        <w:spacing w:after="0" w:line="166" w:lineRule="exact"/>
        <w:rPr>
          <w:rFonts w:ascii="Times New Roman" w:cs="Times New Roman" w:eastAsia="Times New Roman" w:hAnsi="Times New Roman"/>
          <w:sz w:val="19"/>
          <w:szCs w:val="19"/>
          <w:color w:val="auto"/>
        </w:rPr>
      </w:pPr>
    </w:p>
    <w:p>
      <w:pPr>
        <w:ind w:left="640" w:hanging="635"/>
        <w:spacing w:after="0"/>
        <w:tabs>
          <w:tab w:leader="none" w:pos="6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terms not otherwise defined in this Option Agreement have the meanings assigned to them in the Plan;</w:t>
      </w:r>
    </w:p>
    <w:p>
      <w:pPr>
        <w:spacing w:after="0" w:line="210" w:lineRule="exact"/>
        <w:rPr>
          <w:rFonts w:ascii="Times New Roman" w:cs="Times New Roman" w:eastAsia="Times New Roman" w:hAnsi="Times New Roman"/>
          <w:sz w:val="19"/>
          <w:szCs w:val="19"/>
          <w:color w:val="auto"/>
        </w:rPr>
      </w:pPr>
    </w:p>
    <w:p>
      <w:pPr>
        <w:ind w:left="640" w:hanging="635"/>
        <w:spacing w:after="0"/>
        <w:tabs>
          <w:tab w:leader="none" w:pos="6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provides services to or performs work for the Corporation or any of its Subsidiaries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and</w:t>
      </w:r>
    </w:p>
    <w:p>
      <w:pPr>
        <w:spacing w:after="0" w:line="214" w:lineRule="exact"/>
        <w:rPr>
          <w:rFonts w:ascii="Times New Roman" w:cs="Times New Roman" w:eastAsia="Times New Roman" w:hAnsi="Times New Roman"/>
          <w:sz w:val="19"/>
          <w:szCs w:val="19"/>
          <w:color w:val="auto"/>
        </w:rPr>
      </w:pPr>
    </w:p>
    <w:p>
      <w:pPr>
        <w:ind w:left="640" w:right="20" w:hanging="635"/>
        <w:spacing w:after="0" w:line="278" w:lineRule="auto"/>
        <w:tabs>
          <w:tab w:leader="none" w:pos="6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wishes to grant the Option (as defined below) to the Optionee as an incentive for the provision or continued provision of the Services by the Optionee.</w:t>
      </w:r>
    </w:p>
    <w:p>
      <w:pPr>
        <w:spacing w:after="0" w:line="14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b w:val="1"/>
          <w:bCs w:val="1"/>
          <w:color w:val="auto"/>
        </w:rPr>
        <w:t>NOW, THEREFORE, THIS OPTION AGREEMENT WITNESSES THAT</w:t>
      </w:r>
      <w:r>
        <w:rPr>
          <w:rFonts w:ascii="Times New Roman" w:cs="Times New Roman" w:eastAsia="Times New Roman" w:hAnsi="Times New Roman"/>
          <w:sz w:val="19"/>
          <w:szCs w:val="19"/>
          <w:color w:val="auto"/>
        </w:rPr>
        <w:t>, for good and valuable consideration, the receipt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sufficiency whereof are hereby acknowledged, the parties hereby agree as follows:</w:t>
      </w:r>
    </w:p>
    <w:p>
      <w:pPr>
        <w:spacing w:after="0" w:line="143" w:lineRule="exact"/>
        <w:rPr>
          <w:sz w:val="20"/>
          <w:szCs w:val="20"/>
          <w:color w:val="auto"/>
        </w:rPr>
      </w:pPr>
    </w:p>
    <w:p>
      <w:pPr>
        <w:jc w:val="both"/>
        <w:ind w:left="640" w:hanging="635"/>
        <w:spacing w:after="0" w:line="261" w:lineRule="auto"/>
        <w:tabs>
          <w:tab w:leader="none" w:pos="64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hereby grants to the Optionee, on the terms and conditions set out in this Option Agreement and in the Plan, the irrevocable right and option (the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xml:space="preserve">”) to purchase, from time to time, up to </w:t>
      </w:r>
      <w:r>
        <w:rPr>
          <w:rFonts w:ascii="Times New Roman" w:cs="Times New Roman" w:eastAsia="Times New Roman" w:hAnsi="Times New Roman"/>
          <w:sz w:val="19"/>
          <w:szCs w:val="19"/>
          <w:b w:val="1"/>
          <w:bCs w:val="1"/>
          <w:color w:val="auto"/>
        </w:rPr>
        <w:t>_____</w:t>
      </w:r>
      <w:r>
        <w:rPr>
          <w:rFonts w:ascii="Times New Roman" w:cs="Times New Roman" w:eastAsia="Times New Roman" w:hAnsi="Times New Roman"/>
          <w:sz w:val="19"/>
          <w:szCs w:val="19"/>
          <w:color w:val="auto"/>
        </w:rPr>
        <w:t xml:space="preserve"> Common Shares (the “</w:t>
      </w:r>
      <w:r>
        <w:rPr>
          <w:rFonts w:ascii="Times New Roman" w:cs="Times New Roman" w:eastAsia="Times New Roman" w:hAnsi="Times New Roman"/>
          <w:sz w:val="19"/>
          <w:szCs w:val="19"/>
          <w:b w:val="1"/>
          <w:bCs w:val="1"/>
          <w:color w:val="auto"/>
        </w:rPr>
        <w:t>Optioned Shares</w:t>
      </w:r>
      <w:r>
        <w:rPr>
          <w:rFonts w:ascii="Times New Roman" w:cs="Times New Roman" w:eastAsia="Times New Roman" w:hAnsi="Times New Roman"/>
          <w:sz w:val="19"/>
          <w:szCs w:val="19"/>
          <w:color w:val="auto"/>
        </w:rPr>
        <w:t>”) as fully paid and non-assessable at an exercise price of USD$</w:t>
      </w:r>
      <w:r>
        <w:rPr>
          <w:rFonts w:ascii="Times New Roman" w:cs="Times New Roman" w:eastAsia="Times New Roman" w:hAnsi="Times New Roman"/>
          <w:sz w:val="19"/>
          <w:szCs w:val="19"/>
          <w:b w:val="1"/>
          <w:bCs w:val="1"/>
          <w:color w:val="auto"/>
        </w:rPr>
        <w:t>____</w:t>
      </w:r>
      <w:r>
        <w:rPr>
          <w:rFonts w:ascii="Times New Roman" w:cs="Times New Roman" w:eastAsia="Times New Roman" w:hAnsi="Times New Roman"/>
          <w:sz w:val="19"/>
          <w:szCs w:val="19"/>
          <w:color w:val="auto"/>
        </w:rPr>
        <w:t xml:space="preserve"> per Optioned Share.</w:t>
      </w:r>
    </w:p>
    <w:p>
      <w:pPr>
        <w:spacing w:after="0" w:line="161" w:lineRule="exact"/>
        <w:rPr>
          <w:rFonts w:ascii="Times New Roman" w:cs="Times New Roman" w:eastAsia="Times New Roman" w:hAnsi="Times New Roman"/>
          <w:sz w:val="19"/>
          <w:szCs w:val="19"/>
          <w:color w:val="auto"/>
        </w:rPr>
      </w:pPr>
    </w:p>
    <w:p>
      <w:pPr>
        <w:ind w:left="640"/>
        <w:spacing w:after="0" w:line="27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Optionee’s continued Services through the applicable vesting date, the Option will be exercisable to the extent vested and will vest in full according to the following schedule,</w:t>
      </w:r>
    </w:p>
    <w:p>
      <w:pPr>
        <w:spacing w:after="0" w:line="189" w:lineRule="exact"/>
        <w:rPr>
          <w:sz w:val="20"/>
          <w:szCs w:val="20"/>
          <w:color w:val="auto"/>
        </w:rPr>
      </w:pPr>
    </w:p>
    <w:tbl>
      <w:tblPr>
        <w:tblLayout w:type="fixed"/>
        <w:tblInd w:w="650" w:type="dxa"/>
        <w:tblCellMar>
          <w:top w:w="0" w:type="dxa"/>
          <w:left w:w="0" w:type="dxa"/>
          <w:bottom w:w="0" w:type="dxa"/>
          <w:right w:w="0" w:type="dxa"/>
        </w:tblCellMar>
      </w:tblPr>
      <w:tr>
        <w:trPr>
          <w:trHeight w:val="266"/>
        </w:trPr>
        <w:tc>
          <w:tcPr>
            <w:tcW w:w="2020" w:type="dxa"/>
            <w:vAlign w:val="bottom"/>
            <w:tcBorders>
              <w:top w:val="single" w:sz="8" w:color="auto"/>
              <w:left w:val="single" w:sz="8" w:color="auto"/>
              <w:right w:val="single" w:sz="8" w:color="auto"/>
            </w:tcBorders>
          </w:tcPr>
          <w:p>
            <w:pPr>
              <w:spacing w:after="0"/>
              <w:rPr>
                <w:sz w:val="23"/>
                <w:szCs w:val="23"/>
                <w:color w:val="auto"/>
              </w:rPr>
            </w:pPr>
          </w:p>
        </w:tc>
        <w:tc>
          <w:tcPr>
            <w:tcW w:w="6360" w:type="dxa"/>
            <w:vAlign w:val="bottom"/>
            <w:tcBorders>
              <w:top w:val="single" w:sz="8" w:color="auto"/>
              <w:right w:val="single" w:sz="8" w:color="auto"/>
            </w:tcBorders>
          </w:tcPr>
          <w:p>
            <w:pPr>
              <w:jc w:val="right"/>
              <w:ind w:right="2984"/>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387"/>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6360" w:type="dxa"/>
            <w:vAlign w:val="bottom"/>
            <w:tcBorders>
              <w:bottom w:val="single" w:sz="8" w:color="auto"/>
              <w:right w:val="single" w:sz="8" w:color="auto"/>
            </w:tcBorders>
          </w:tcPr>
          <w:p>
            <w:pPr>
              <w:spacing w:after="0"/>
              <w:rPr>
                <w:sz w:val="24"/>
                <w:szCs w:val="24"/>
                <w:color w:val="auto"/>
              </w:rPr>
            </w:pPr>
          </w:p>
        </w:tc>
      </w:tr>
      <w:tr>
        <w:trPr>
          <w:trHeight w:val="190"/>
        </w:trPr>
        <w:tc>
          <w:tcPr>
            <w:tcW w:w="2020" w:type="dxa"/>
            <w:vAlign w:val="bottom"/>
            <w:tcBorders>
              <w:left w:val="single" w:sz="8" w:color="auto"/>
              <w:right w:val="single" w:sz="8" w:color="auto"/>
            </w:tcBorders>
          </w:tcPr>
          <w:p>
            <w:pPr>
              <w:ind w:left="100"/>
              <w:spacing w:after="0" w:line="190" w:lineRule="exact"/>
              <w:rPr>
                <w:sz w:val="20"/>
                <w:szCs w:val="20"/>
                <w:color w:val="auto"/>
              </w:rPr>
            </w:pPr>
            <w:r>
              <w:rPr>
                <w:rFonts w:ascii="Times New Roman" w:cs="Times New Roman" w:eastAsia="Times New Roman" w:hAnsi="Times New Roman"/>
                <w:sz w:val="19"/>
                <w:szCs w:val="19"/>
                <w:b w:val="1"/>
                <w:bCs w:val="1"/>
                <w:color w:val="auto"/>
              </w:rPr>
              <w:t>Number of Optioned</w:t>
            </w:r>
          </w:p>
        </w:tc>
        <w:tc>
          <w:tcPr>
            <w:tcW w:w="6360" w:type="dxa"/>
            <w:vAlign w:val="bottom"/>
            <w:tcBorders>
              <w:right w:val="single" w:sz="8" w:color="auto"/>
            </w:tcBorders>
          </w:tcPr>
          <w:p>
            <w:pPr>
              <w:jc w:val="right"/>
              <w:ind w:right="2984"/>
              <w:spacing w:after="0" w:line="190" w:lineRule="exact"/>
              <w:rPr>
                <w:sz w:val="20"/>
                <w:szCs w:val="20"/>
                <w:color w:val="auto"/>
              </w:rPr>
            </w:pPr>
            <w:r>
              <w:rPr>
                <w:rFonts w:ascii="Times New Roman" w:cs="Times New Roman" w:eastAsia="Times New Roman" w:hAnsi="Times New Roman"/>
                <w:sz w:val="19"/>
                <w:szCs w:val="19"/>
                <w:b w:val="1"/>
                <w:bCs w:val="1"/>
                <w:color w:val="auto"/>
              </w:rPr>
              <w:t>[*]</w:t>
            </w:r>
          </w:p>
        </w:tc>
      </w:tr>
      <w:tr>
        <w:trPr>
          <w:trHeight w:val="253"/>
        </w:trPr>
        <w:tc>
          <w:tcPr>
            <w:tcW w:w="20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Shares vesting</w:t>
            </w:r>
          </w:p>
        </w:tc>
        <w:tc>
          <w:tcPr>
            <w:tcW w:w="6360" w:type="dxa"/>
            <w:vAlign w:val="bottom"/>
            <w:tcBorders>
              <w:right w:val="single" w:sz="8" w:color="auto"/>
            </w:tcBorders>
          </w:tcPr>
          <w:p>
            <w:pPr>
              <w:spacing w:after="0"/>
              <w:rPr>
                <w:sz w:val="21"/>
                <w:szCs w:val="21"/>
                <w:color w:val="auto"/>
              </w:rPr>
            </w:pPr>
          </w:p>
        </w:tc>
      </w:tr>
      <w:tr>
        <w:trPr>
          <w:trHeight w:val="308"/>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6360" w:type="dxa"/>
            <w:vAlign w:val="bottom"/>
            <w:tcBorders>
              <w:bottom w:val="single" w:sz="8" w:color="auto"/>
              <w:right w:val="single" w:sz="8" w:color="auto"/>
            </w:tcBorders>
          </w:tcPr>
          <w:p>
            <w:pPr>
              <w:spacing w:after="0"/>
              <w:rPr>
                <w:sz w:val="24"/>
                <w:szCs w:val="24"/>
                <w:color w:val="auto"/>
              </w:rPr>
            </w:pPr>
          </w:p>
        </w:tc>
      </w:tr>
    </w:tbl>
    <w:p>
      <w:pPr>
        <w:spacing w:after="0" w:line="186"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9"/>
          <w:szCs w:val="19"/>
          <w:color w:val="auto"/>
        </w:rPr>
        <w:t>Provided the Optionee has done all that was reasonably required of him or her during the time that the Optionee was a director, officer, employee or consultant to the Corporation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447675</wp:posOffset>
            </wp:positionV>
            <wp:extent cx="629158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331"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9"/>
          <w:szCs w:val="19"/>
          <w:color w:val="auto"/>
        </w:rPr>
        <w:t>having regard to that person’s role or skills, as determined at the Board’s reasonable discretion, including, for example, attending meetings, communications, and customer and investor presentations at the Corporation’s expense.</w:t>
      </w:r>
    </w:p>
    <w:p>
      <w:pPr>
        <w:spacing w:after="0" w:line="14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9"/>
          <w:szCs w:val="19"/>
          <w:color w:val="auto"/>
        </w:rPr>
        <w:t>On request, the Corporation may issue a written notice to the Optionee evidencing satisfaction of the vesting conditions, after which time the rights of the Optionee shall be non-contingent upon further action or omissions by the Optionee save those specifically set out in this Option Agreement.</w:t>
      </w:r>
    </w:p>
    <w:p>
      <w:pPr>
        <w:spacing w:after="0" w:line="162" w:lineRule="exact"/>
        <w:rPr>
          <w:sz w:val="20"/>
          <w:szCs w:val="20"/>
          <w:color w:val="auto"/>
        </w:rPr>
      </w:pPr>
    </w:p>
    <w:p>
      <w:pPr>
        <w:ind w:left="640" w:right="20" w:hanging="635"/>
        <w:spacing w:after="0" w:line="278" w:lineRule="auto"/>
        <w:tabs>
          <w:tab w:leader="none" w:pos="6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shall have a term that expires at 5:00 p.m. Eastern Standard Time on the 20th anniversary of the Date of Grant.</w:t>
      </w:r>
    </w:p>
    <w:p>
      <w:pPr>
        <w:spacing w:after="0" w:line="147" w:lineRule="exact"/>
        <w:rPr>
          <w:sz w:val="20"/>
          <w:szCs w:val="20"/>
          <w:color w:val="auto"/>
        </w:rPr>
      </w:pPr>
    </w:p>
    <w:p>
      <w:pPr>
        <w:jc w:val="both"/>
        <w:ind w:left="640" w:hanging="635"/>
        <w:spacing w:after="0" w:line="252" w:lineRule="auto"/>
        <w:tabs>
          <w:tab w:leader="none" w:pos="6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this Option Agreement and the Plan, the Optionee, or the Optionee’s legal representative(s), may exercise the Option or a portion thereof from time to time by signing and delivering a notice in writing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of Exercise</w:t>
      </w:r>
      <w:r>
        <w:rPr>
          <w:rFonts w:ascii="Times New Roman" w:cs="Times New Roman" w:eastAsia="Times New Roman" w:hAnsi="Times New Roman"/>
          <w:sz w:val="19"/>
          <w:szCs w:val="19"/>
          <w:color w:val="auto"/>
        </w:rPr>
        <w:t>”), substantially in the form attached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hereto, to the Corporation. The Notice of Exercise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the intention of the Optionee, or the Optionee’s legal representative(s), to exercise the Option or a portion thereof and the number of Optioned Shares for which the Option is being exercised.</w:t>
      </w:r>
    </w:p>
    <w:p>
      <w:pPr>
        <w:spacing w:after="0" w:line="171" w:lineRule="exact"/>
        <w:rPr>
          <w:sz w:val="20"/>
          <w:szCs w:val="20"/>
          <w:color w:val="auto"/>
        </w:rPr>
      </w:pPr>
    </w:p>
    <w:p>
      <w:pPr>
        <w:jc w:val="both"/>
        <w:ind w:left="640" w:right="20" w:hanging="635"/>
        <w:spacing w:after="0" w:line="250" w:lineRule="auto"/>
        <w:tabs>
          <w:tab w:leader="none" w:pos="6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Notice of Exercise must be accompanied by payment in full of the applicable aggregate exercise price in cash or by certified check, or cashier’s check or wire transfer payable to the Corporation, provided that, subject to the approval of the Board or its delegatee, if applicable, the Optionee may, but is not required to, “net exercise” such that, if permitted and elected, the Optionee shall receive the number of Optioned Shares exercised, reduced by the number of Optioned Shares required to cover the sum of the aggregate exercise price and any taxes required or permitted to be withheld in connection with the Option’s exercise.</w:t>
      </w:r>
    </w:p>
    <w:p>
      <w:pPr>
        <w:spacing w:after="0" w:line="175" w:lineRule="exact"/>
        <w:rPr>
          <w:sz w:val="20"/>
          <w:szCs w:val="20"/>
          <w:color w:val="auto"/>
        </w:rPr>
      </w:pPr>
    </w:p>
    <w:p>
      <w:pPr>
        <w:jc w:val="both"/>
        <w:ind w:left="640" w:hanging="635"/>
        <w:spacing w:after="0" w:line="261" w:lineRule="auto"/>
        <w:tabs>
          <w:tab w:leader="none" w:pos="64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has no rights as a shareholder in respect of any of the Optioned Shares (including any right to receive dividends or other distribution therefrom or thereon) except in respect of which the Option has been properly exercised in accordance with this Option Agreement and the Plan.</w:t>
      </w:r>
    </w:p>
    <w:p>
      <w:pPr>
        <w:spacing w:after="0" w:line="162" w:lineRule="exact"/>
        <w:rPr>
          <w:sz w:val="20"/>
          <w:szCs w:val="20"/>
          <w:color w:val="auto"/>
        </w:rPr>
      </w:pPr>
    </w:p>
    <w:p>
      <w:pPr>
        <w:ind w:left="640" w:right="20" w:hanging="635"/>
        <w:spacing w:after="0" w:line="278" w:lineRule="auto"/>
        <w:tabs>
          <w:tab w:leader="none" w:pos="6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may not be transferred, assigned, pledged or hypothecated in any manner (whether by operation of law or otherwise) other than by will or by applicable laws of descent and distribution.</w:t>
      </w:r>
    </w:p>
    <w:p>
      <w:pPr>
        <w:spacing w:after="0" w:line="147" w:lineRule="exact"/>
        <w:rPr>
          <w:sz w:val="20"/>
          <w:szCs w:val="20"/>
          <w:color w:val="auto"/>
        </w:rPr>
      </w:pPr>
    </w:p>
    <w:p>
      <w:pPr>
        <w:ind w:left="640" w:hanging="635"/>
        <w:spacing w:after="0" w:line="278" w:lineRule="auto"/>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of Grant the Optionee is providing Services (whether as a director, officer, employee or consultant) to the Corporation or any of its Subsidiaries.</w:t>
      </w:r>
    </w:p>
    <w:p>
      <w:pPr>
        <w:spacing w:after="0" w:line="147" w:lineRule="exact"/>
        <w:rPr>
          <w:sz w:val="20"/>
          <w:szCs w:val="20"/>
          <w:color w:val="auto"/>
        </w:rPr>
      </w:pPr>
    </w:p>
    <w:p>
      <w:pPr>
        <w:jc w:val="both"/>
        <w:ind w:left="640" w:right="20" w:hanging="635"/>
        <w:spacing w:after="0" w:line="261" w:lineRule="auto"/>
        <w:tabs>
          <w:tab w:leader="none" w:pos="64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has not been induced to enter into this Option Agreement by the expectation of entering into an employer or other service relationship or continuing an employment or other service relationship with the Corporation or any of its Subsidiaries.</w:t>
      </w:r>
    </w:p>
    <w:p>
      <w:pPr>
        <w:spacing w:after="0" w:line="162" w:lineRule="exact"/>
        <w:rPr>
          <w:sz w:val="20"/>
          <w:szCs w:val="20"/>
          <w:color w:val="auto"/>
        </w:rPr>
      </w:pPr>
    </w:p>
    <w:p>
      <w:pPr>
        <w:jc w:val="both"/>
        <w:ind w:left="640" w:hanging="635"/>
        <w:spacing w:after="0" w:line="261" w:lineRule="auto"/>
        <w:tabs>
          <w:tab w:leader="none" w:pos="6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this Option Agreement nor the Plan confers on the Optionee the right to continue in the employ of or association with the Corporation or any of its Subsidiaries nor do they interfere in any way with the right of the Optionee, the Corporation, or any Subsidiary to terminate the Optionee’s employment or other service relationship at any time.</w:t>
      </w:r>
    </w:p>
    <w:p>
      <w:pPr>
        <w:spacing w:after="0" w:line="162" w:lineRule="exact"/>
        <w:rPr>
          <w:sz w:val="20"/>
          <w:szCs w:val="20"/>
          <w:color w:val="auto"/>
        </w:rPr>
      </w:pPr>
    </w:p>
    <w:p>
      <w:pPr>
        <w:ind w:left="640" w:right="20" w:hanging="635"/>
        <w:spacing w:after="0" w:line="278" w:lineRule="auto"/>
        <w:tabs>
          <w:tab w:leader="none" w:pos="64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Option Agreement will inure to the benefit of and be binding on the Corporation and its successors, and the Optionee and, to the extent provided herein, the Optionee’s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579755</wp:posOffset>
            </wp:positionV>
            <wp:extent cx="629158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73" w:name="page174"/>
    <w:bookmarkEnd w:id="173"/>
    <w:p>
      <w:pPr>
        <w:jc w:val="center"/>
        <w:ind w:right="-14"/>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331" w:lineRule="exact"/>
        <w:rPr>
          <w:sz w:val="20"/>
          <w:szCs w:val="20"/>
          <w:color w:val="auto"/>
        </w:rPr>
      </w:pPr>
    </w:p>
    <w:p>
      <w:pPr>
        <w:jc w:val="both"/>
        <w:ind w:left="635" w:hanging="635"/>
        <w:spacing w:after="0" w:line="261" w:lineRule="auto"/>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of the Option are subject to the provisions of the Plan, as the same may from time to time be amended, and any inconsistencies between this Option Agreement and the Plan, as the same may be from time to time amended, will be governed by the provisions of the Plan.</w:t>
      </w:r>
    </w:p>
    <w:p>
      <w:pPr>
        <w:spacing w:after="0" w:line="161" w:lineRule="exact"/>
        <w:rPr>
          <w:rFonts w:ascii="Times New Roman" w:cs="Times New Roman" w:eastAsia="Times New Roman" w:hAnsi="Times New Roman"/>
          <w:sz w:val="19"/>
          <w:szCs w:val="19"/>
          <w:color w:val="auto"/>
        </w:rPr>
      </w:pPr>
    </w:p>
    <w:p>
      <w:pPr>
        <w:jc w:val="both"/>
        <w:ind w:left="635" w:hanging="635"/>
        <w:spacing w:after="0" w:line="261" w:lineRule="auto"/>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market for the Optioned Shares, and the Corporation is not obliged to seek or obtain a trading market for the Optioned Shares; the Corporation is a private corporation and does not have reporting obligations under law as do “reporting issuers” under applicable securities laws.</w:t>
      </w:r>
    </w:p>
    <w:p>
      <w:pPr>
        <w:spacing w:after="0" w:line="161" w:lineRule="exact"/>
        <w:rPr>
          <w:rFonts w:ascii="Times New Roman" w:cs="Times New Roman" w:eastAsia="Times New Roman" w:hAnsi="Times New Roman"/>
          <w:sz w:val="19"/>
          <w:szCs w:val="19"/>
          <w:color w:val="auto"/>
        </w:rPr>
      </w:pPr>
    </w:p>
    <w:p>
      <w:pPr>
        <w:ind w:left="635" w:hanging="635"/>
        <w:spacing w:after="0"/>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the Optionee is subject to taxation in the United States:</w:t>
      </w:r>
    </w:p>
    <w:p>
      <w:pPr>
        <w:spacing w:after="0" w:line="212" w:lineRule="exact"/>
        <w:rPr>
          <w:rFonts w:ascii="Times New Roman" w:cs="Times New Roman" w:eastAsia="Times New Roman" w:hAnsi="Times New Roman"/>
          <w:sz w:val="19"/>
          <w:szCs w:val="19"/>
          <w:color w:val="auto"/>
        </w:rPr>
      </w:pPr>
    </w:p>
    <w:p>
      <w:pPr>
        <w:jc w:val="both"/>
        <w:ind w:left="1255" w:hanging="628"/>
        <w:spacing w:after="0" w:line="249" w:lineRule="auto"/>
        <w:tabs>
          <w:tab w:leader="none" w:pos="125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acknowledges he, she, or it understands that none of the Optioned Shares have been or will be registered under the United States Securities Act of 1933 (the “</w:t>
      </w:r>
      <w:r>
        <w:rPr>
          <w:rFonts w:ascii="Times New Roman" w:cs="Times New Roman" w:eastAsia="Times New Roman" w:hAnsi="Times New Roman"/>
          <w:sz w:val="19"/>
          <w:szCs w:val="19"/>
          <w:b w:val="1"/>
          <w:bCs w:val="1"/>
          <w:color w:val="auto"/>
        </w:rPr>
        <w:t>1933 Act</w:t>
      </w:r>
      <w:r>
        <w:rPr>
          <w:rFonts w:ascii="Times New Roman" w:cs="Times New Roman" w:eastAsia="Times New Roman" w:hAnsi="Times New Roman"/>
          <w:sz w:val="19"/>
          <w:szCs w:val="19"/>
          <w:color w:val="auto"/>
        </w:rPr>
        <w:t>”), or under any state securities or “blue sky” laws of any state, and, unless so registered, may not be offered or sold in the United States or, directly or indirectly, to U.S. persons (as defined in the 1933 Act), except in accordance with the provisions of Regulation S, pursuant to an effective registration statement under the 1933 Act, or pursuant to an exemption from, or in a transaction not subject to, the registration requirements of the 1933 Act and in each case only in accordance with applicable State securities laws; and</w:t>
      </w:r>
    </w:p>
    <w:p>
      <w:pPr>
        <w:spacing w:after="0" w:line="173" w:lineRule="exact"/>
        <w:rPr>
          <w:rFonts w:ascii="Times New Roman" w:cs="Times New Roman" w:eastAsia="Times New Roman" w:hAnsi="Times New Roman"/>
          <w:sz w:val="19"/>
          <w:szCs w:val="19"/>
          <w:color w:val="auto"/>
        </w:rPr>
      </w:pPr>
    </w:p>
    <w:p>
      <w:pPr>
        <w:jc w:val="both"/>
        <w:ind w:left="1235" w:right="20" w:hanging="608"/>
        <w:spacing w:after="0" w:line="262" w:lineRule="auto"/>
        <w:tabs>
          <w:tab w:leader="none" w:pos="123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represents and warrants that the Optionee is an “</w:t>
      </w:r>
      <w:r>
        <w:rPr>
          <w:rFonts w:ascii="Times New Roman" w:cs="Times New Roman" w:eastAsia="Times New Roman" w:hAnsi="Times New Roman"/>
          <w:sz w:val="19"/>
          <w:szCs w:val="19"/>
          <w:b w:val="1"/>
          <w:bCs w:val="1"/>
          <w:color w:val="auto"/>
        </w:rPr>
        <w:t>Accredited Investor</w:t>
      </w:r>
      <w:r>
        <w:rPr>
          <w:rFonts w:ascii="Times New Roman" w:cs="Times New Roman" w:eastAsia="Times New Roman" w:hAnsi="Times New Roman"/>
          <w:sz w:val="19"/>
          <w:szCs w:val="19"/>
          <w:color w:val="auto"/>
        </w:rPr>
        <w:t>”, as the term is used in Regulation D of the 1933 Act, or is otherwise an exempt recipient under the 1933 Act such that the Corporation is not required to register this Option and/or the Optioned Shares.</w:t>
      </w:r>
    </w:p>
    <w:p>
      <w:pPr>
        <w:spacing w:after="0" w:line="161" w:lineRule="exact"/>
        <w:rPr>
          <w:rFonts w:ascii="Times New Roman" w:cs="Times New Roman" w:eastAsia="Times New Roman" w:hAnsi="Times New Roman"/>
          <w:sz w:val="19"/>
          <w:szCs w:val="19"/>
          <w:color w:val="auto"/>
        </w:rPr>
      </w:pPr>
    </w:p>
    <w:p>
      <w:pPr>
        <w:jc w:val="both"/>
        <w:ind w:left="635" w:hanging="635"/>
        <w:spacing w:after="0" w:line="251" w:lineRule="auto"/>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notice required to be given to the Corporation shall be in writing and addressed to the Corporation at its address shown on page one of this Option Agreement or the address as instructed by the Corporation from time to time. Any notice required to be given or delivered to the Optionee shall be in writing and addressed to the Optionee at the address in the Corporation’s or its Subsidiary’s records, as applicable. All notices shall be deemed effective upon personal delivery or as of the second day after deposit in the U.S. mail, postage prepaid and properly addressed to the party to be notified.</w:t>
      </w:r>
    </w:p>
    <w:p>
      <w:pPr>
        <w:spacing w:after="0" w:line="397" w:lineRule="exact"/>
        <w:rPr>
          <w:rFonts w:ascii="Times New Roman" w:cs="Times New Roman" w:eastAsia="Times New Roman" w:hAnsi="Times New Roman"/>
          <w:sz w:val="19"/>
          <w:szCs w:val="19"/>
          <w:color w:val="auto"/>
        </w:rPr>
      </w:pPr>
    </w:p>
    <w:p>
      <w:pPr>
        <w:jc w:val="both"/>
        <w:ind w:left="635" w:right="20" w:hanging="635"/>
        <w:spacing w:after="0" w:line="255" w:lineRule="auto"/>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has no duty or obligation to the Optionee to advise as to the time or manner of exercising his, her, or its Option. Furthermore, the Corporation shall have no duty or obligation to warn or otherwise advise the Optionee of a pending termination or expiration of an Option or a possible period in which the Option may not be exercised. The Corporation has no duty or obligation to minimize the tax consequences of an Option to the Optionee.</w:t>
      </w:r>
    </w:p>
    <w:p>
      <w:pPr>
        <w:spacing w:after="0" w:line="167" w:lineRule="exact"/>
        <w:rPr>
          <w:rFonts w:ascii="Times New Roman" w:cs="Times New Roman" w:eastAsia="Times New Roman" w:hAnsi="Times New Roman"/>
          <w:sz w:val="19"/>
          <w:szCs w:val="19"/>
          <w:color w:val="auto"/>
        </w:rPr>
      </w:pPr>
    </w:p>
    <w:p>
      <w:pPr>
        <w:ind w:left="635" w:hanging="635"/>
        <w:spacing w:after="0"/>
        <w:tabs>
          <w:tab w:leader="none" w:pos="63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accepting and executing this Option Agreement, the Optionee further represents, warrants and acknowledges that:</w:t>
      </w:r>
    </w:p>
    <w:p>
      <w:pPr>
        <w:spacing w:after="0" w:line="212" w:lineRule="exact"/>
        <w:rPr>
          <w:rFonts w:ascii="Times New Roman" w:cs="Times New Roman" w:eastAsia="Times New Roman" w:hAnsi="Times New Roman"/>
          <w:sz w:val="19"/>
          <w:szCs w:val="19"/>
          <w:color w:val="auto"/>
        </w:rPr>
      </w:pPr>
    </w:p>
    <w:p>
      <w:pPr>
        <w:jc w:val="both"/>
        <w:ind w:left="1255" w:hanging="628"/>
        <w:spacing w:after="0" w:line="261" w:lineRule="auto"/>
        <w:tabs>
          <w:tab w:leader="none" w:pos="125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participation in the Plan and acceptance of the Options is voluntary, is not a condition of continued employment or engagement and the Optionee is under no obligation to participate in the Plan or to accept any Options under the Plan;</w:t>
      </w:r>
    </w:p>
    <w:p>
      <w:pPr>
        <w:spacing w:after="0" w:line="161" w:lineRule="exact"/>
        <w:rPr>
          <w:rFonts w:ascii="Times New Roman" w:cs="Times New Roman" w:eastAsia="Times New Roman" w:hAnsi="Times New Roman"/>
          <w:sz w:val="19"/>
          <w:szCs w:val="19"/>
          <w:color w:val="auto"/>
        </w:rPr>
      </w:pPr>
    </w:p>
    <w:p>
      <w:pPr>
        <w:jc w:val="both"/>
        <w:ind w:left="1255" w:right="20" w:hanging="628"/>
        <w:spacing w:after="0" w:line="261" w:lineRule="auto"/>
        <w:tabs>
          <w:tab w:leader="none" w:pos="125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has not been induced to participate in the Plan by expectation of engagement, appointment, employment, continued engagement, continued appointment or continued employment, as applicable, with the Corporation or any of its Subsidiaries;</w:t>
      </w:r>
    </w:p>
    <w:p>
      <w:pPr>
        <w:spacing w:after="0" w:line="161" w:lineRule="exact"/>
        <w:rPr>
          <w:rFonts w:ascii="Times New Roman" w:cs="Times New Roman" w:eastAsia="Times New Roman" w:hAnsi="Times New Roman"/>
          <w:sz w:val="19"/>
          <w:szCs w:val="19"/>
          <w:color w:val="auto"/>
        </w:rPr>
      </w:pPr>
    </w:p>
    <w:p>
      <w:pPr>
        <w:ind w:left="1255" w:hanging="628"/>
        <w:spacing w:after="0"/>
        <w:tabs>
          <w:tab w:leader="none" w:pos="125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Options does not create any contractual or other right or expectation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6291580"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15"/>
          </w:cols>
          <w:pgMar w:left="985" w:top="643" w:right="99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331" w:lineRule="exact"/>
        <w:rPr>
          <w:sz w:val="20"/>
          <w:szCs w:val="20"/>
          <w:color w:val="auto"/>
        </w:rPr>
      </w:pPr>
    </w:p>
    <w:p>
      <w:pPr>
        <w:ind w:left="1260"/>
        <w:spacing w:after="0" w:line="278" w:lineRule="auto"/>
        <w:rPr>
          <w:sz w:val="20"/>
          <w:szCs w:val="20"/>
          <w:color w:val="auto"/>
        </w:rPr>
      </w:pPr>
      <w:r>
        <w:rPr>
          <w:rFonts w:ascii="Times New Roman" w:cs="Times New Roman" w:eastAsia="Times New Roman" w:hAnsi="Times New Roman"/>
          <w:sz w:val="19"/>
          <w:szCs w:val="19"/>
          <w:color w:val="auto"/>
        </w:rPr>
        <w:t>receive any additional grant(s) of Options or similar awards even if the Optionee has been repeatedly awarded grants of Options;</w:t>
      </w:r>
    </w:p>
    <w:p>
      <w:pPr>
        <w:spacing w:after="0" w:line="147" w:lineRule="exact"/>
        <w:rPr>
          <w:sz w:val="20"/>
          <w:szCs w:val="20"/>
          <w:color w:val="auto"/>
        </w:rPr>
      </w:pPr>
    </w:p>
    <w:p>
      <w:pPr>
        <w:jc w:val="both"/>
        <w:ind w:left="1260" w:right="20" w:hanging="628"/>
        <w:spacing w:after="0" w:line="261" w:lineRule="auto"/>
        <w:tabs>
          <w:tab w:leader="none" w:pos="12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has received, or has had the opportunity to receive independent legal advice in connection with the terms and conditions of this Option Agreement and the Plan (including regarding the consequences of the cessation of the Optionee’s Services upon the Options);</w:t>
      </w:r>
    </w:p>
    <w:p>
      <w:pPr>
        <w:spacing w:after="0" w:line="161" w:lineRule="exact"/>
        <w:rPr>
          <w:rFonts w:ascii="Times New Roman" w:cs="Times New Roman" w:eastAsia="Times New Roman" w:hAnsi="Times New Roman"/>
          <w:sz w:val="19"/>
          <w:szCs w:val="19"/>
          <w:color w:val="auto"/>
        </w:rPr>
      </w:pPr>
    </w:p>
    <w:p>
      <w:pPr>
        <w:ind w:left="1260" w:hanging="62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promise of a particular monetary value associated with the vesting of any Option;</w:t>
      </w:r>
    </w:p>
    <w:p>
      <w:pPr>
        <w:spacing w:after="0" w:line="212" w:lineRule="exact"/>
        <w:rPr>
          <w:rFonts w:ascii="Times New Roman" w:cs="Times New Roman" w:eastAsia="Times New Roman" w:hAnsi="Times New Roman"/>
          <w:sz w:val="19"/>
          <w:szCs w:val="19"/>
          <w:color w:val="auto"/>
        </w:rPr>
      </w:pPr>
    </w:p>
    <w:p>
      <w:pPr>
        <w:ind w:left="1260" w:right="20" w:hanging="628"/>
        <w:spacing w:after="0" w:line="278" w:lineRule="auto"/>
        <w:tabs>
          <w:tab w:leader="none" w:pos="12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Optionee is not an employee, the grant of an Option will not be interpreted to create an employment relationship with the Corporation or any of its Subsidiaries; and</w:t>
      </w:r>
    </w:p>
    <w:p>
      <w:pPr>
        <w:spacing w:after="0" w:line="146" w:lineRule="exact"/>
        <w:rPr>
          <w:rFonts w:ascii="Times New Roman" w:cs="Times New Roman" w:eastAsia="Times New Roman" w:hAnsi="Times New Roman"/>
          <w:sz w:val="19"/>
          <w:szCs w:val="19"/>
          <w:color w:val="auto"/>
        </w:rPr>
      </w:pPr>
    </w:p>
    <w:p>
      <w:pPr>
        <w:ind w:left="1260" w:hanging="628"/>
        <w:spacing w:after="0"/>
        <w:tabs>
          <w:tab w:leader="none" w:pos="12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of this Option Agreement is done freely and voluntarily, without inducement or duress.</w:t>
      </w:r>
    </w:p>
    <w:p>
      <w:pPr>
        <w:spacing w:after="0" w:line="212" w:lineRule="exact"/>
        <w:rPr>
          <w:sz w:val="20"/>
          <w:szCs w:val="20"/>
          <w:color w:val="auto"/>
        </w:rPr>
      </w:pPr>
    </w:p>
    <w:p>
      <w:pPr>
        <w:jc w:val="both"/>
        <w:ind w:left="640" w:hanging="635"/>
        <w:spacing w:after="0" w:line="249" w:lineRule="auto"/>
        <w:tabs>
          <w:tab w:leader="none" w:pos="6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benefits provided for in connection with this Option or otherwise payable to the Optionee by the Corporation or any successor thereto (i) constitute “parachute payments” within the meaning of Section 280G of the Code, and (ii) would be subject to the excise tax imposed by Section 4999 of the Code (the “</w:t>
      </w:r>
      <w:r>
        <w:rPr>
          <w:rFonts w:ascii="Times New Roman" w:cs="Times New Roman" w:eastAsia="Times New Roman" w:hAnsi="Times New Roman"/>
          <w:sz w:val="19"/>
          <w:szCs w:val="19"/>
          <w:b w:val="1"/>
          <w:bCs w:val="1"/>
          <w:color w:val="auto"/>
        </w:rPr>
        <w:t>Excise Tax</w:t>
      </w:r>
      <w:r>
        <w:rPr>
          <w:rFonts w:ascii="Times New Roman" w:cs="Times New Roman" w:eastAsia="Times New Roman" w:hAnsi="Times New Roman"/>
          <w:sz w:val="19"/>
          <w:szCs w:val="19"/>
          <w:color w:val="auto"/>
        </w:rPr>
        <w:t>”), then the Optionee’s benefits will be either (a) delivered in full or (b) delivered to such lesser extent as would result in no portion of such benefits being subject to the Excise Tax, whichever of the foregoing amounts, taking into account the applicable federal, state and local income taxes and the Excise Tax, results in the receipt by the Optionee on an after- tax basis, of the greatest amount of benefits, despite that all or some of such benefits may be taxable under Section 4999 of the Code.]</w:t>
      </w:r>
    </w:p>
    <w:p>
      <w:pPr>
        <w:spacing w:after="0" w:line="175" w:lineRule="exact"/>
        <w:rPr>
          <w:rFonts w:ascii="Times New Roman" w:cs="Times New Roman" w:eastAsia="Times New Roman" w:hAnsi="Times New Roman"/>
          <w:sz w:val="19"/>
          <w:szCs w:val="19"/>
          <w:color w:val="auto"/>
        </w:rPr>
      </w:pPr>
    </w:p>
    <w:p>
      <w:pPr>
        <w:jc w:val="both"/>
        <w:ind w:left="640" w:hanging="635"/>
        <w:spacing w:after="0" w:line="246" w:lineRule="auto"/>
        <w:tabs>
          <w:tab w:leader="none" w:pos="6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will be interpreted to the greatest extent possible in a manner that makes the Option exempt from Section 409A of the Code, and to the extent not so exempt, in compliance with the requirements imposed by Section 409A of the Code. If any provision in this Option Agreement or the Plan would result in the imposition of an additional tax under Section 409A of the Code, the Corporation and the Optionee intend that this Option Agreement and/or the Plan will be reformed to avoid imposition, to the extent possible, of the applicable tax. No action taken to comply with Section 409A of the Code shall be deemed to adversely affect the Optionee’s rights to the Option. The Optionee further agrees that the Board or the Committee, as applicable, in the exercise of its sole discretion and without the consent of the Optionee, may amend or modify this Option Agreement or the Plan in any manner and delay the payment of any amounts payable pursuant to the Option to the minimum extent necessary to meet the requirements of Section 409A of the Code as the Committee deems appropriate or desirable. The Corporation makes no representation that the Plan or any Option complies with Section 409A of the Code and shall have no liability to any Optionee for any failure to comply with Section 409A of the Code.]</w:t>
      </w:r>
    </w:p>
    <w:p>
      <w:pPr>
        <w:spacing w:after="0" w:line="184" w:lineRule="exact"/>
        <w:rPr>
          <w:rFonts w:ascii="Times New Roman" w:cs="Times New Roman" w:eastAsia="Times New Roman" w:hAnsi="Times New Roman"/>
          <w:sz w:val="19"/>
          <w:szCs w:val="19"/>
          <w:color w:val="auto"/>
        </w:rPr>
      </w:pPr>
    </w:p>
    <w:p>
      <w:pPr>
        <w:jc w:val="both"/>
        <w:ind w:left="640" w:hanging="635"/>
        <w:spacing w:after="0" w:line="249" w:lineRule="auto"/>
        <w:tabs>
          <w:tab w:leader="none" w:pos="64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Optionee’s Personal Data (as defined below) may be collected, used, and transferred, whether in electronic or other form, by and among the Corporation and any Subsidiary or any third parties as may be selected by the Corporation for the exclusive purpose of implementing, administering, and managing the Optionee’s participation in the Plan. Refusal or withdrawal of consent will affect the Optionee’s ability to participate in the Plan; without providing consent, the Optionee will not be able to participate in the Plan or realize any benefits from the Option. The Corporation, any Subsidiary, and/or any designated third parties may hold personal information about the Optionee, including, but not limited to, the Optionee’s name, home address and telephone number,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598170</wp:posOffset>
            </wp:positionV>
            <wp:extent cx="629158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331"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19"/>
          <w:szCs w:val="19"/>
          <w:color w:val="auto"/>
        </w:rPr>
        <w:t>birth, social insurance number or other identification number, salary, nationality, job title, any shares of stock or directorships held in the Corporation or any Subsidiary, details of all Options or any other entitlement to Common Shares awarded, canceled, exercised, vested, unvested or outstanding in the Optionee’s favor (“</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Personal Data may be transferred to any third parties assisting in the implementation, administration and management of the Plan; these recipients may be located in the United States, the Optionee’s country, or elsewhere; and the recipient’s country may have different data privacy laws and protections than the Optionee’s country.</w:t>
      </w:r>
    </w:p>
    <w:p>
      <w:pPr>
        <w:spacing w:after="0" w:line="175" w:lineRule="exact"/>
        <w:rPr>
          <w:sz w:val="20"/>
          <w:szCs w:val="20"/>
          <w:color w:val="auto"/>
        </w:rPr>
      </w:pPr>
    </w:p>
    <w:p>
      <w:pPr>
        <w:ind w:left="640" w:right="20" w:hanging="635"/>
        <w:spacing w:after="0" w:line="278" w:lineRule="auto"/>
        <w:tabs>
          <w:tab w:leader="none" w:pos="64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interpretation, performance and enforcement of this Option Agreement shall be governed by the laws of the State of Delaware without resort to Delaware’s conflict-of-laws rules.</w:t>
      </w:r>
    </w:p>
    <w:p>
      <w:pPr>
        <w:spacing w:after="0" w:line="146" w:lineRule="exact"/>
        <w:rPr>
          <w:rFonts w:ascii="Times New Roman" w:cs="Times New Roman" w:eastAsia="Times New Roman" w:hAnsi="Times New Roman"/>
          <w:sz w:val="19"/>
          <w:szCs w:val="19"/>
          <w:color w:val="auto"/>
        </w:rPr>
      </w:pPr>
    </w:p>
    <w:p>
      <w:pPr>
        <w:jc w:val="both"/>
        <w:ind w:left="640" w:right="20" w:hanging="635"/>
        <w:spacing w:after="0" w:line="255" w:lineRule="auto"/>
        <w:tabs>
          <w:tab w:leader="none" w:pos="64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accepting and executing this Option Agreement, the Optionee further represents, warrants and acknowledges that: (a) the Optionee has received a copy of the Plan; (b) the terms and conditions of the Plan are fair and reasonable and the Optionee will not make a claim to the contrary; and (c) the Optionee has read and understood the Plan and this Option Agreement, and agrees to the terms and conditions thereof including, without limitation, Sections 10 and 11 of the Plan.</w:t>
      </w:r>
    </w:p>
    <w:p>
      <w:pPr>
        <w:spacing w:after="0" w:line="167" w:lineRule="exact"/>
        <w:rPr>
          <w:rFonts w:ascii="Times New Roman" w:cs="Times New Roman" w:eastAsia="Times New Roman" w:hAnsi="Times New Roman"/>
          <w:sz w:val="19"/>
          <w:szCs w:val="19"/>
          <w:color w:val="auto"/>
        </w:rPr>
      </w:pPr>
    </w:p>
    <w:p>
      <w:pPr>
        <w:jc w:val="both"/>
        <w:ind w:left="640" w:hanging="635"/>
        <w:spacing w:after="0" w:line="255" w:lineRule="auto"/>
        <w:tabs>
          <w:tab w:leader="none" w:pos="64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Option Agreement may be executed in counterpart and such counterparts together will constitute a single instrument. Delivery of an executed counterpart of this Option Agreement by electronic means, including by facsimile transmission or by electronic delivery in portable document format (“.pdf”), will be equally effective as delivery of a manually executed counterpart 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621665</wp:posOffset>
            </wp:positionV>
            <wp:extent cx="629158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Optionee’s Acknowledgement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By signing below, I acknowledge that I have received a copy of the Plan and that my execution of this Option Agreement is done freely and voluntarily, without inducement or duress, having had an opportunity to review, make inquires, and seek independent legal advice as to the terms and conditions of the Option Agreement and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Option Agreement is dated as of the day and year first above written.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TERRESTRIAL ENERGY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-137795</wp:posOffset>
            </wp:positionV>
            <wp:extent cx="29838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2983865" cy="8255"/>
                    </a:xfrm>
                    <a:prstGeom prst="rect">
                      <a:avLst/>
                    </a:prstGeom>
                    <a:noFill/>
                  </pic:spPr>
                </pic:pic>
              </a:graphicData>
            </a:graphic>
          </wp:anchor>
        </w:drawing>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Optionee is not an individual: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-132080</wp:posOffset>
            </wp:positionV>
            <wp:extent cx="31413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-132080</wp:posOffset>
            </wp:positionV>
            <wp:extent cx="31413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Printed Name and Title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-132080</wp:posOffset>
            </wp:positionV>
            <wp:extent cx="31413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auto"/>
        </w:rPr>
        <w:t>If Optionee is an individual:</w:t>
      </w:r>
    </w:p>
    <w:p>
      <w:pPr>
        <w:spacing w:after="0" w:line="200" w:lineRule="exact"/>
        <w:rPr>
          <w:sz w:val="20"/>
          <w:szCs w:val="20"/>
          <w:color w:val="auto"/>
        </w:rPr>
      </w:pPr>
    </w:p>
    <w:p>
      <w:pPr>
        <w:spacing w:after="0" w:line="2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-132080</wp:posOffset>
            </wp:positionV>
            <wp:extent cx="31413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Printed 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488950</wp:posOffset>
            </wp:positionV>
            <wp:extent cx="6291580" cy="24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6291580" cy="2476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-132080</wp:posOffset>
            </wp:positionV>
            <wp:extent cx="31413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ectPr>
          <w:pgSz w:w="11900" w:h="16838" w:orient="portrait"/>
          <w:cols w:equalWidth="0" w:num="1">
            <w:col w:w="9920"/>
          </w:cols>
          <w:pgMar w:left="980" w:top="643" w:right="99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12"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b w:val="1"/>
          <w:bCs w:val="1"/>
          <w:color w:val="auto"/>
        </w:rPr>
        <w:t>TERRESTRIAL ENERGY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Notice of Exercise</w:t>
      </w:r>
    </w:p>
    <w:p>
      <w:pPr>
        <w:spacing w:after="0" w:line="21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This Notice of Exercise constitutes proper notice pursuant to Section 8(d) of the Plan and Section 5 of the Option Agreement dated as of__________________________, 20 between the Corporation and the undersigned.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hereby elects to exercise the Optionee’s option to purchase _____________ Common Shares at a price of USD$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 per Optioned Share, on the terms and conditions set forth in the Option Agreement and the Plan.</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As the Optionee is subject to taxation in the United States, he, she, or it represents and warrants that the Optionee is an Accredited Investor or is otherwise an exempt recipient under the 1933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Optionee hereby directs the Corporation to issue, register and deliver the certificates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157480</wp:posOffset>
            </wp:positionV>
            <wp:extent cx="2378710" cy="1425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2378710" cy="1425575"/>
                    </a:xfrm>
                    <a:prstGeom prst="rect">
                      <a:avLst/>
                    </a:prstGeom>
                    <a:noFill/>
                  </pic:spPr>
                </pic:pic>
              </a:graphicData>
            </a:graphic>
          </wp:anchor>
        </w:drawing>
      </w:r>
    </w:p>
    <w:p>
      <w:pPr>
        <w:spacing w:after="0" w:line="2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Registration Information:</w:t>
      </w:r>
    </w:p>
    <w:p>
      <w:pPr>
        <w:spacing w:after="0" w:line="3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Name to appear on certificates</w:t>
      </w:r>
    </w:p>
    <w:p>
      <w:pPr>
        <w:spacing w:after="0" w:line="35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37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Telephone Number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at ____________________________________________________ [Insert Location], the _____________ day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of_____________, 20_____________.</w:t>
      </w: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Signature of Optionee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-132080</wp:posOffset>
            </wp:positionV>
            <wp:extent cx="31413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Printed Name of Optionee (or Name of Entity 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-132080</wp:posOffset>
            </wp:positionV>
            <wp:extent cx="31413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and Title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284480</wp:posOffset>
            </wp:positionV>
            <wp:extent cx="31413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Address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480695</wp:posOffset>
            </wp:positionV>
            <wp:extent cx="6291580"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6291580" cy="2476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-132080</wp:posOffset>
            </wp:positionV>
            <wp:extent cx="31413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9"/>
          <w:szCs w:val="19"/>
          <w:b w:val="1"/>
          <w:bCs w:val="1"/>
          <w:color w:val="auto"/>
        </w:rPr>
        <w:t>Exhibit 10.15</w:t>
      </w:r>
    </w:p>
    <w:p>
      <w:pPr>
        <w:spacing w:after="0" w:line="3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b w:val="1"/>
          <w:bCs w:val="1"/>
          <w:color w:val="auto"/>
        </w:rPr>
        <w:t>ASSIGNMENT, ASSUMPTION, WAIVER AND COVENANT AGREEMENT</w:t>
      </w:r>
    </w:p>
    <w:p>
      <w:pPr>
        <w:spacing w:after="0" w:line="110"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19"/>
          <w:szCs w:val="19"/>
          <w:color w:val="auto"/>
        </w:rPr>
        <w:t>This Assignment, Assumption, Waiver and Covenant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the date of the last required signatures affixed below, by and among Simon Irish (“</w:t>
      </w:r>
      <w:r>
        <w:rPr>
          <w:rFonts w:ascii="Times New Roman" w:cs="Times New Roman" w:eastAsia="Times New Roman" w:hAnsi="Times New Roman"/>
          <w:sz w:val="19"/>
          <w:szCs w:val="19"/>
          <w:u w:val="single" w:color="auto"/>
          <w:color w:val="auto"/>
        </w:rPr>
        <w:t>Employee</w:t>
      </w:r>
      <w:r>
        <w:rPr>
          <w:rFonts w:ascii="Times New Roman" w:cs="Times New Roman" w:eastAsia="Times New Roman" w:hAnsi="Times New Roman"/>
          <w:sz w:val="19"/>
          <w:szCs w:val="19"/>
          <w:color w:val="auto"/>
        </w:rPr>
        <w:t>”), Terrestrial Energy Inc., a Delaware corporation (“</w:t>
      </w:r>
      <w:r>
        <w:rPr>
          <w:rFonts w:ascii="Times New Roman" w:cs="Times New Roman" w:eastAsia="Times New Roman" w:hAnsi="Times New Roman"/>
          <w:sz w:val="19"/>
          <w:szCs w:val="19"/>
          <w:u w:val="single" w:color="auto"/>
          <w:color w:val="auto"/>
        </w:rPr>
        <w:t>Assignor</w:t>
      </w:r>
      <w:r>
        <w:rPr>
          <w:rFonts w:ascii="Times New Roman" w:cs="Times New Roman" w:eastAsia="Times New Roman" w:hAnsi="Times New Roman"/>
          <w:sz w:val="19"/>
          <w:szCs w:val="19"/>
          <w:color w:val="auto"/>
        </w:rPr>
        <w:t>”), and Terrestrial Energy Development Inc., a Delaware corporation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Employee, Assignor, and Assignee are sometimes referred to herein individually as a “</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and collectively as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w:t>
      </w:r>
    </w:p>
    <w:p>
      <w:pPr>
        <w:spacing w:after="0" w:line="103" w:lineRule="exact"/>
        <w:rPr>
          <w:sz w:val="20"/>
          <w:szCs w:val="20"/>
          <w:color w:val="auto"/>
        </w:rPr>
      </w:pPr>
    </w:p>
    <w:p>
      <w:pPr>
        <w:jc w:val="both"/>
        <w:ind w:firstLine="627"/>
        <w:spacing w:after="0" w:line="278" w:lineRule="auto"/>
        <w:rPr>
          <w:sz w:val="20"/>
          <w:szCs w:val="20"/>
          <w:color w:val="auto"/>
        </w:rPr>
      </w:pPr>
      <w:r>
        <w:rPr>
          <w:rFonts w:ascii="Times New Roman" w:cs="Times New Roman" w:eastAsia="Times New Roman" w:hAnsi="Times New Roman"/>
          <w:sz w:val="19"/>
          <w:szCs w:val="19"/>
          <w:color w:val="auto"/>
        </w:rPr>
        <w:t>WHEREAS, Employee and Assignor are parties to that certain Employment Agreement dated as of October 28, 2025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w:t>
      </w:r>
    </w:p>
    <w:p>
      <w:pPr>
        <w:spacing w:after="0" w:line="68"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9"/>
          <w:szCs w:val="19"/>
          <w:color w:val="auto"/>
        </w:rPr>
        <w:t>WHEREAS, the Employment Agreement provides that Assignor may assign the Employment Agreement to any parent, subsidiary or affiliated company or successor in interest, and the Parties agree and acknowledge that Assignor and Assignee are affiliated entities;</w:t>
      </w:r>
    </w:p>
    <w:p>
      <w:pPr>
        <w:spacing w:after="0" w:line="97"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9"/>
          <w:szCs w:val="19"/>
          <w:color w:val="auto"/>
        </w:rPr>
        <w:t>WHEREAS, the Parties have agreed that Employee’s employment with Assignor will be transferred to Assignee on or about February 24, 2026 (the date of such transfer, the “</w:t>
      </w:r>
      <w:r>
        <w:rPr>
          <w:rFonts w:ascii="Times New Roman" w:cs="Times New Roman" w:eastAsia="Times New Roman" w:hAnsi="Times New Roman"/>
          <w:sz w:val="19"/>
          <w:szCs w:val="19"/>
          <w:u w:val="single" w:color="auto"/>
          <w:color w:val="auto"/>
        </w:rPr>
        <w:t>Transfer Date</w:t>
      </w:r>
      <w:r>
        <w:rPr>
          <w:rFonts w:ascii="Times New Roman" w:cs="Times New Roman" w:eastAsia="Times New Roman" w:hAnsi="Times New Roman"/>
          <w:sz w:val="19"/>
          <w:szCs w:val="19"/>
          <w:color w:val="auto"/>
        </w:rPr>
        <w:t>”), without interruption, and with no change to Employee’s terms and conditions of employment apart from the identity of the employing affiliate (the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w:t>
      </w:r>
    </w:p>
    <w:p>
      <w:pPr>
        <w:spacing w:after="0" w:line="97" w:lineRule="exact"/>
        <w:rPr>
          <w:sz w:val="20"/>
          <w:szCs w:val="20"/>
          <w:color w:val="auto"/>
        </w:rPr>
      </w:pPr>
    </w:p>
    <w:p>
      <w:pPr>
        <w:jc w:val="both"/>
        <w:ind w:firstLine="627"/>
        <w:spacing w:after="0" w:line="278" w:lineRule="auto"/>
        <w:rPr>
          <w:sz w:val="20"/>
          <w:szCs w:val="20"/>
          <w:color w:val="auto"/>
        </w:rPr>
      </w:pPr>
      <w:r>
        <w:rPr>
          <w:rFonts w:ascii="Times New Roman" w:cs="Times New Roman" w:eastAsia="Times New Roman" w:hAnsi="Times New Roman"/>
          <w:sz w:val="19"/>
          <w:szCs w:val="19"/>
          <w:color w:val="auto"/>
        </w:rPr>
        <w:t>WHEREAS, the Parties now wish to assign the Employment Agreement as set forth herein (the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and provide for Employee’s waiver and covenant in connection therewith.</w:t>
      </w:r>
    </w:p>
    <w:p>
      <w:pPr>
        <w:spacing w:after="0" w:line="68"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19"/>
          <w:szCs w:val="19"/>
          <w:color w:val="auto"/>
        </w:rPr>
        <w:t>NOW, THEREFORE, in consideration of the foregoing and the mutual promises and agreements herein contained and for other good and valuable consideration, the receipt and sufficiency of which are hereby acknowledged, the Parties to this Agreement hereby agree as follows:</w:t>
      </w:r>
    </w:p>
    <w:p>
      <w:pPr>
        <w:spacing w:after="0" w:line="97" w:lineRule="exact"/>
        <w:rPr>
          <w:sz w:val="20"/>
          <w:szCs w:val="20"/>
          <w:color w:val="auto"/>
        </w:rPr>
      </w:pPr>
    </w:p>
    <w:p>
      <w:pPr>
        <w:ind w:firstLine="620"/>
        <w:spacing w:after="0" w:line="278" w:lineRule="auto"/>
        <w:tabs>
          <w:tab w:leader="none" w:pos="125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For purposes of this Agreement, all capitalized terms not otherwise defined herein shall have the meanings ascribed to them in the Employment Agreement.</w:t>
      </w:r>
    </w:p>
    <w:p>
      <w:pPr>
        <w:spacing w:after="0" w:line="81" w:lineRule="exact"/>
        <w:rPr>
          <w:rFonts w:ascii="Times New Roman" w:cs="Times New Roman" w:eastAsia="Times New Roman" w:hAnsi="Times New Roman"/>
          <w:sz w:val="19"/>
          <w:szCs w:val="19"/>
          <w:color w:val="auto"/>
        </w:rPr>
      </w:pPr>
    </w:p>
    <w:p>
      <w:pPr>
        <w:jc w:val="both"/>
        <w:ind w:firstLine="620"/>
        <w:spacing w:after="0" w:line="248" w:lineRule="auto"/>
        <w:tabs>
          <w:tab w:leader="none" w:pos="125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Effective as of the Transfer Date, Assignor hereby assigns, sets over, and transfers to Assignee, and Assignee hereby takes and accepts from Assignor, all of Assignor’s rights, title, and interest in and under the Employment Agreement; provided that, for clarity, (a) Assignor shall remain responsible for and shall perform all covenants and obligations under the Employment Agreement in respect of the period prior to the Transfer Date, (b) Assignor shall remain responsible for and shall perform all covenants and obligations under the Employment Agreement with respect to long-term equity incentive awards and the terms thereof, (c) Employee shall continue to report to Assignor’s Board of Directors. Employee hereby consents to the Assignment, and (d) the Assignment shall not be deemed to amend, terminate, or otherwise affect the status of any stock option, restricted stock unit, or option cancellation agreements in effect prior to the effective date of the Employment Agreement.</w:t>
      </w:r>
    </w:p>
    <w:p>
      <w:pPr>
        <w:spacing w:after="0" w:line="95" w:lineRule="exact"/>
        <w:rPr>
          <w:rFonts w:ascii="Times New Roman" w:cs="Times New Roman" w:eastAsia="Times New Roman" w:hAnsi="Times New Roman"/>
          <w:sz w:val="19"/>
          <w:szCs w:val="19"/>
          <w:color w:val="auto"/>
        </w:rPr>
      </w:pPr>
    </w:p>
    <w:p>
      <w:pPr>
        <w:jc w:val="both"/>
        <w:ind w:firstLine="620"/>
        <w:spacing w:after="0" w:line="249" w:lineRule="auto"/>
        <w:tabs>
          <w:tab w:leader="none" w:pos="125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and Covenant</w:t>
      </w:r>
      <w:r>
        <w:rPr>
          <w:rFonts w:ascii="Times New Roman" w:cs="Times New Roman" w:eastAsia="Times New Roman" w:hAnsi="Times New Roman"/>
          <w:sz w:val="19"/>
          <w:szCs w:val="19"/>
          <w:color w:val="auto"/>
        </w:rPr>
        <w:t>. In consideration of Employee’s employment by Assignee and the assignment and assumption of the Employment Agreement as set forth herein, Employee hereby irrevocably waives any right that Employee might have to claim or contend, and covenants not to claim or contend, in any judicial, administrative or arbitral forum of any kind, that the Transfer (a) constitutes a termination of Employee’s employment for purposes of the Employment Agreement or otherwise, (b) commences the period of any post-employment restrictive covenant, or (c) entitles Employee to any benefits that are based upon or triggered by a termination of employment, including but not limited to severance benefits, accelerated vesting of grants of equity or options to purchase equity, or other compensation or benefits of any kind.</w:t>
      </w:r>
    </w:p>
    <w:p>
      <w:pPr>
        <w:spacing w:after="0" w:line="110" w:lineRule="exact"/>
        <w:rPr>
          <w:rFonts w:ascii="Times New Roman" w:cs="Times New Roman" w:eastAsia="Times New Roman" w:hAnsi="Times New Roman"/>
          <w:sz w:val="19"/>
          <w:szCs w:val="19"/>
          <w:color w:val="auto"/>
        </w:rPr>
      </w:pPr>
    </w:p>
    <w:p>
      <w:pPr>
        <w:ind w:left="1220" w:hanging="610"/>
        <w:spacing w:after="0"/>
        <w:tabs>
          <w:tab w:leader="none" w:pos="122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488950</wp:posOffset>
            </wp:positionV>
            <wp:extent cx="6291580"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820"/>
          </w:cols>
          <w:pgMar w:left="1080" w:top="114" w:right="999" w:bottom="1440" w:gutter="0" w:footer="0" w:header="0"/>
        </w:sectPr>
      </w:pPr>
    </w:p>
    <w:bookmarkStart w:id="179" w:name="page180"/>
    <w:bookmarkEnd w:id="179"/>
    <w:p>
      <w:pPr>
        <w:ind w:firstLine="1246"/>
        <w:spacing w:after="0" w:line="277" w:lineRule="auto"/>
        <w:tabs>
          <w:tab w:leader="none" w:pos="187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by and construed in accordance with the internal laws of the State of Delaware without regard to conflicts-of-laws principles.</w:t>
      </w:r>
    </w:p>
    <w:p>
      <w:pPr>
        <w:spacing w:after="0" w:line="82" w:lineRule="exact"/>
        <w:rPr>
          <w:rFonts w:ascii="Times New Roman" w:cs="Times New Roman" w:eastAsia="Times New Roman" w:hAnsi="Times New Roman"/>
          <w:sz w:val="19"/>
          <w:szCs w:val="19"/>
          <w:color w:val="auto"/>
        </w:rPr>
      </w:pPr>
    </w:p>
    <w:p>
      <w:pPr>
        <w:jc w:val="both"/>
        <w:ind w:firstLine="1246"/>
        <w:spacing w:after="0" w:line="255" w:lineRule="auto"/>
        <w:tabs>
          <w:tab w:leader="none" w:pos="187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Digital Signatures</w:t>
      </w:r>
      <w:r>
        <w:rPr>
          <w:rFonts w:ascii="Times New Roman" w:cs="Times New Roman" w:eastAsia="Times New Roman" w:hAnsi="Times New Roman"/>
          <w:sz w:val="19"/>
          <w:szCs w:val="19"/>
          <w:color w:val="auto"/>
        </w:rPr>
        <w:t>. This Agreement may be executed in any number of counterparts (including electronically signed counterparts), and by different Parties hereto in separate counterparts, each of which when so executed and delivered shall be deemed an original, but all such counterparts together shall constitute but one and the same instrument.</w:t>
      </w:r>
    </w:p>
    <w:p>
      <w:pPr>
        <w:spacing w:after="0" w:line="89" w:lineRule="exact"/>
        <w:rPr>
          <w:rFonts w:ascii="Times New Roman" w:cs="Times New Roman" w:eastAsia="Times New Roman" w:hAnsi="Times New Roman"/>
          <w:sz w:val="19"/>
          <w:szCs w:val="19"/>
          <w:color w:val="auto"/>
        </w:rPr>
      </w:pPr>
    </w:p>
    <w:p>
      <w:pPr>
        <w:jc w:val="both"/>
        <w:ind w:firstLine="1246"/>
        <w:spacing w:after="0" w:line="255" w:lineRule="auto"/>
        <w:tabs>
          <w:tab w:leader="none" w:pos="187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Employment Agreement set forth in full the terms of agreement between the Parties with respect to the subject matter thereof and are intended as the full, complete, and exclusive contract governing the relationship between the Parties with respect thereto, superseding all other discussions, promises, representations, warranties, agreements, and understandings between the Parties with respect thereto.</w:t>
      </w:r>
    </w:p>
    <w:p>
      <w:pPr>
        <w:spacing w:after="0" w:line="1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351790</wp:posOffset>
            </wp:positionV>
            <wp:extent cx="6291580"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820"/>
          </w:cols>
          <w:pgMar w:left="1080" w:top="118" w:right="999" w:bottom="1440" w:gutter="0" w:footer="0" w:header="0"/>
        </w:sectPr>
      </w:pPr>
    </w:p>
    <w:bookmarkStart w:id="180" w:name="page181"/>
    <w:bookmarkEnd w:id="180"/>
    <w:p>
      <w:pPr>
        <w:ind w:left="6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executed as of the date first written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above.</w:t>
      </w: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ASSIGNOR</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Terrestrial Energy Inc.</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  /s/ Fred Buckman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16510</wp:posOffset>
            </wp:positionV>
            <wp:extent cx="28848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2884805" cy="8255"/>
                    </a:xfrm>
                    <a:prstGeom prst="rect">
                      <a:avLst/>
                    </a:prstGeom>
                    <a:noFill/>
                  </pic:spPr>
                </pic:pic>
              </a:graphicData>
            </a:graphic>
          </wp:anchor>
        </w:drawing>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 xml:space="preserve">Fred Buckman, Board </w:t>
      </w:r>
      <w:r>
        <w:rPr>
          <w:rFonts w:ascii="Times New Roman" w:cs="Times New Roman" w:eastAsia="Times New Roman" w:hAnsi="Times New Roman"/>
          <w:sz w:val="17"/>
          <w:szCs w:val="17"/>
          <w:color w:val="auto"/>
        </w:rPr>
        <w:t>Chair</w:t>
      </w:r>
    </w:p>
    <w:p>
      <w:pPr>
        <w:spacing w:after="0" w:line="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February 24, 2026</w:t>
      </w: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ASSIGNEE:</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Terrestrial Energy Development Inc.</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  /s/ Brian Thrasher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16510</wp:posOffset>
            </wp:positionV>
            <wp:extent cx="28848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2884805" cy="8255"/>
                    </a:xfrm>
                    <a:prstGeom prst="rect">
                      <a:avLst/>
                    </a:prstGeom>
                    <a:noFill/>
                  </pic:spPr>
                </pic:pic>
              </a:graphicData>
            </a:graphic>
          </wp:anchor>
        </w:drawing>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Brian Thrasher, CFO &amp; Director</w:t>
      </w:r>
    </w:p>
    <w:p>
      <w:pPr>
        <w:spacing w:after="0" w:line="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February 24, 2026</w:t>
      </w: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/s/ Simon Irish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16510</wp:posOffset>
            </wp:positionV>
            <wp:extent cx="31413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3141345" cy="8255"/>
                    </a:xfrm>
                    <a:prstGeom prst="rect">
                      <a:avLst/>
                    </a:prstGeom>
                    <a:noFill/>
                  </pic:spPr>
                </pic:pic>
              </a:graphicData>
            </a:graphic>
          </wp:anchor>
        </w:drawing>
      </w:r>
    </w:p>
    <w:p>
      <w:pPr>
        <w:spacing w:after="0" w:line="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Simon Irish, an individual</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February 24, 2026</w:t>
      </w:r>
    </w:p>
    <w:p>
      <w:pPr>
        <w:spacing w:after="0" w:line="39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Signature Page to Amendment, Assignment, and Assumption Agreement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812165</wp:posOffset>
            </wp:positionV>
            <wp:extent cx="6291580"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440"/>
          </w:cols>
          <w:pgMar w:left="1080" w:top="118" w:right="137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195580</wp:posOffset>
            </wp:positionV>
            <wp:extent cx="2263140" cy="5886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2263140"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TERRESTRIAL ENERGY INC.</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NON-EMPLOYEE DIRECTOR COMPENSATION POLICY</w:t>
      </w:r>
    </w:p>
    <w:p>
      <w:pPr>
        <w:spacing w:after="0" w:line="20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Effective December 19, 2025</w:t>
      </w:r>
    </w:p>
    <w:p>
      <w:pPr>
        <w:spacing w:after="0" w:line="110"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19"/>
          <w:szCs w:val="19"/>
          <w:color w:val="auto"/>
        </w:rPr>
        <w:t>Each member of the Board of Directors (the “Board”) of Terrestrial Energy Inc. (the “Company”) who is not an employee of the Company or any subsidiary of the Company (each, a “Non-Employee Director”) shall be subject to, and eligible to receive cash and equity compensation for his or her service on the Board and any committee thereof (“Committee”) in accordance with this Non-Employee Director Compensation Policy (this “Policy”). For the avoidance of doubt, this Policy shall not apply to members of the Board who are employees of the Company or any subsidiary of the Company. This Policy shall remain in effect until it is amended or rescinded by further action of the Board.</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1. General</w:t>
      </w:r>
    </w:p>
    <w:p>
      <w:pPr>
        <w:spacing w:after="0" w:line="175"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9"/>
          <w:szCs w:val="19"/>
          <w:color w:val="auto"/>
        </w:rPr>
        <w:t>This Policy shall be followed in connection with all compensation paid by the Company to Non-Employee Directors, including, without limitation, amounts paid or awards granted under the Company’s 2025 Equity Incentive Plan (the “Plan”). Non-Employee Directors shall not be entitled to any compensation for their service on the Board other than as described in this Policy and the Plan.</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2. Cash Compensation</w:t>
      </w:r>
    </w:p>
    <w:p>
      <w:pPr>
        <w:spacing w:after="0" w:line="175"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9"/>
          <w:szCs w:val="19"/>
          <w:color w:val="auto"/>
        </w:rPr>
        <w:t>The amount of annual cash retainers and Board and Committee Chair fees shall be set by the Board, and as of the effective date of this Policy as provided in Exhibit A, based on its consideration of the recommendation of the Compensation Committee of the Board (the “Compensation Committee”), and remain in effect until amended by further action of the Board.</w:t>
      </w:r>
    </w:p>
    <w:p>
      <w:pPr>
        <w:spacing w:after="0" w:line="64"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Each Non-Employee Director shall receive an annual cash retainer for their service on the Board as provided in Exhibit A. Additional cash retainers shall be paid for each Non-Employee Director’s service, as applicable, (1) as Chairman of the Board and/or (2) as a member of any Committee.</w:t>
      </w:r>
    </w:p>
    <w:p>
      <w:pPr>
        <w:spacing w:after="0" w:line="70"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Each Non-Employee Director who serves on the Board or a Committee for less than a full quarterly period shall receive a prorated portion of the annual cash retainer for such quarterly period, determined based on the number of days served during the quarterly period.</w:t>
      </w:r>
    </w:p>
    <w:p>
      <w:pPr>
        <w:spacing w:after="0" w:line="57"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9"/>
          <w:szCs w:val="19"/>
          <w:color w:val="auto"/>
        </w:rPr>
        <w:t>Annual cash retainers, including any pro rata portion thereof, shall be paid in arrears at the end of each calendar quarter. Each Non-Employee Director shall provide payment instructions to the Company’s Chief Financial Officer. Each Non-Employee Director will provide any documentation reasonably requested by the Company and be solely responsible for all associated personal taxes.</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3. Equity Compensation</w:t>
      </w:r>
    </w:p>
    <w:p>
      <w:pPr>
        <w:spacing w:after="0" w:line="175"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The form and amount of equity grants shall be set by the Board, and as of the effective date of this Policy in accordance with as provided in Exhibit A, based on its consideration of the recommendation of the Compensation Committee, and remain in effect until amended by further action of the Board.</w:t>
      </w:r>
    </w:p>
    <w:p>
      <w:pPr>
        <w:spacing w:after="0" w:line="57"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9"/>
          <w:szCs w:val="19"/>
          <w:color w:val="auto"/>
        </w:rPr>
        <w:t>As of the effective date of this Policy, each Non-Employee Director then in office shall be eligible to receive, subject to Board approval, the terms of the Plan, and each Non-Employee Director executing the Company’s standard RSU agreement (1) an annual RSU equity award as provided in Exhibit A and (2) a pro rata amount from for October 28, 2026 to December 31, 2026, both of which grants will have a grant date of the effective date of this Policy and vest on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720090</wp:posOffset>
            </wp:positionV>
            <wp:extent cx="629158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460"/>
          </w:cols>
          <w:pgMar w:left="1440" w:top="119" w:right="999" w:bottom="1440" w:gutter="0" w:footer="0" w:header="0"/>
        </w:sectPr>
      </w:pPr>
    </w:p>
    <w:bookmarkStart w:id="182" w:name="page183"/>
    <w:bookmarkEnd w:id="182"/>
    <w:p>
      <w:pPr>
        <w:jc w:val="both"/>
        <w:ind w:left="80"/>
        <w:spacing w:after="0" w:line="277" w:lineRule="auto"/>
        <w:rPr>
          <w:sz w:val="20"/>
          <w:szCs w:val="20"/>
          <w:color w:val="auto"/>
        </w:rPr>
      </w:pPr>
      <w:r>
        <w:rPr>
          <w:rFonts w:ascii="Times New Roman" w:cs="Times New Roman" w:eastAsia="Times New Roman" w:hAnsi="Times New Roman"/>
          <w:sz w:val="19"/>
          <w:szCs w:val="19"/>
          <w:color w:val="auto"/>
        </w:rPr>
        <w:t>Beginning on January 1, 2027 and on each anniversary thereafter, each Non-Employee Director then in office shall be eligible to receive an annual RSU equity award with vesting one year from the grant date.</w:t>
      </w:r>
    </w:p>
    <w:p>
      <w:pPr>
        <w:spacing w:after="0" w:line="43"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Each new Non-Employee Director who is appointed to the Board during the year shall be entitled to a pro- rated annual equity award, determined based on the number of days between the date the Non-Employee Director joins the Board and the anticipated date of the next annual shareholders meeting.</w:t>
      </w:r>
    </w:p>
    <w:p>
      <w:pPr>
        <w:spacing w:after="0" w:line="57" w:lineRule="exact"/>
        <w:rPr>
          <w:sz w:val="20"/>
          <w:szCs w:val="20"/>
          <w:color w:val="auto"/>
        </w:rPr>
      </w:pPr>
    </w:p>
    <w:p>
      <w:pPr>
        <w:jc w:val="both"/>
        <w:ind w:left="80"/>
        <w:spacing w:after="0" w:line="278" w:lineRule="auto"/>
        <w:rPr>
          <w:sz w:val="20"/>
          <w:szCs w:val="20"/>
          <w:color w:val="auto"/>
        </w:rPr>
      </w:pPr>
      <w:r>
        <w:rPr>
          <w:rFonts w:ascii="Times New Roman" w:cs="Times New Roman" w:eastAsia="Times New Roman" w:hAnsi="Times New Roman"/>
          <w:sz w:val="19"/>
          <w:szCs w:val="19"/>
          <w:color w:val="auto"/>
        </w:rPr>
        <w:t>All equity awards will be made in accordance with the Plan and other applicable equity plan documents, including forms of award agreements approved by the Board for grants to Non-Employee Directors consistent with this Policy.</w:t>
      </w:r>
    </w:p>
    <w:p>
      <w:pPr>
        <w:spacing w:after="0" w:line="40" w:lineRule="exact"/>
        <w:rPr>
          <w:sz w:val="20"/>
          <w:szCs w:val="20"/>
          <w:color w:val="auto"/>
        </w:rPr>
      </w:pPr>
    </w:p>
    <w:p>
      <w:pPr>
        <w:ind w:left="1340" w:hanging="633"/>
        <w:spacing w:after="0"/>
        <w:tabs>
          <w:tab w:leader="none" w:pos="134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Travel Expense Reimbursement</w:t>
      </w:r>
    </w:p>
    <w:p>
      <w:pPr>
        <w:spacing w:after="0" w:line="175" w:lineRule="exact"/>
        <w:rPr>
          <w:sz w:val="20"/>
          <w:szCs w:val="20"/>
          <w:color w:val="auto"/>
        </w:rPr>
      </w:pPr>
    </w:p>
    <w:p>
      <w:pPr>
        <w:jc w:val="both"/>
        <w:ind w:left="80"/>
        <w:spacing w:after="0" w:line="248" w:lineRule="auto"/>
        <w:rPr>
          <w:sz w:val="20"/>
          <w:szCs w:val="20"/>
          <w:color w:val="auto"/>
        </w:rPr>
      </w:pPr>
      <w:r>
        <w:rPr>
          <w:rFonts w:ascii="Times New Roman" w:cs="Times New Roman" w:eastAsia="Times New Roman" w:hAnsi="Times New Roman"/>
          <w:sz w:val="19"/>
          <w:szCs w:val="19"/>
          <w:color w:val="auto"/>
        </w:rPr>
        <w:t>Each Non-Employee Director shall be reimbursed for reasonable travel expenses incurred in connection with attendance at in-person Board and Committee meetings, as determined in accordance with this Policy and any other applicable Company policy, including without limitation the Company’s business travel reimbursement policy or procedures, Related Party Transactions Policy, and Code of Conduct &amp; Business Ethics. Each Non-Employee Director shall provide the Company’s Chief Financial Officer and General Counsel with such receipts and other records related to reimbursable expenses as may be reasonably required. Reimbursements shall be paid in accordance with the Company’s standard reimbursement procedures. Non-Employee Directors are encouraged to contact the Company’s CEO in advance of incurring any travel expenses that they may have any questions about to ensure that they utilize similar travel arrangements as similarly situated Company employees.</w:t>
      </w:r>
    </w:p>
    <w:p>
      <w:pPr>
        <w:spacing w:after="0" w:line="68" w:lineRule="exact"/>
        <w:rPr>
          <w:sz w:val="20"/>
          <w:szCs w:val="20"/>
          <w:color w:val="auto"/>
        </w:rPr>
      </w:pPr>
    </w:p>
    <w:p>
      <w:pPr>
        <w:ind w:left="1340" w:hanging="633"/>
        <w:spacing w:after="0"/>
        <w:tabs>
          <w:tab w:leader="none" w:pos="134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Insider Trading</w:t>
      </w:r>
    </w:p>
    <w:p>
      <w:pPr>
        <w:spacing w:after="0" w:line="175" w:lineRule="exact"/>
        <w:rPr>
          <w:sz w:val="20"/>
          <w:szCs w:val="20"/>
          <w:color w:val="auto"/>
        </w:rPr>
      </w:pPr>
    </w:p>
    <w:p>
      <w:pPr>
        <w:ind w:left="80"/>
        <w:spacing w:after="0" w:line="278" w:lineRule="auto"/>
        <w:rPr>
          <w:sz w:val="20"/>
          <w:szCs w:val="20"/>
          <w:color w:val="auto"/>
        </w:rPr>
      </w:pPr>
      <w:r>
        <w:rPr>
          <w:rFonts w:ascii="Times New Roman" w:cs="Times New Roman" w:eastAsia="Times New Roman" w:hAnsi="Times New Roman"/>
          <w:sz w:val="19"/>
          <w:szCs w:val="19"/>
          <w:color w:val="auto"/>
        </w:rPr>
        <w:t>Non-Employee Directors are subject to the Company’s Insider Trading Policy, including that they are prohibited from entering into hedging transactions or similar arrangements regarding their Company securities.</w:t>
      </w:r>
    </w:p>
    <w:p>
      <w:pPr>
        <w:spacing w:after="0" w:line="40" w:lineRule="exact"/>
        <w:rPr>
          <w:sz w:val="20"/>
          <w:szCs w:val="20"/>
          <w:color w:val="auto"/>
        </w:rPr>
      </w:pPr>
    </w:p>
    <w:p>
      <w:pPr>
        <w:ind w:left="1340" w:hanging="633"/>
        <w:spacing w:after="0"/>
        <w:tabs>
          <w:tab w:leader="none" w:pos="1340"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Interpretation</w:t>
      </w:r>
    </w:p>
    <w:p>
      <w:pPr>
        <w:spacing w:after="0" w:line="175"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The Compensation Committee is authorized to interpret and construe this Policy and to make all determinations necessary, appropriate or advisable for the administration of this Policy. Any interpretation made by the Compensation Committee shall be final, conclusive and binding.</w:t>
      </w:r>
    </w:p>
    <w:p>
      <w:pPr>
        <w:spacing w:after="0" w:line="55" w:lineRule="exact"/>
        <w:rPr>
          <w:sz w:val="20"/>
          <w:szCs w:val="20"/>
          <w:color w:val="auto"/>
        </w:rPr>
      </w:pPr>
    </w:p>
    <w:p>
      <w:pPr>
        <w:ind w:left="1340" w:hanging="633"/>
        <w:spacing w:after="0"/>
        <w:tabs>
          <w:tab w:leader="none" w:pos="1340" w:val="left"/>
        </w:tabs>
        <w:numPr>
          <w:ilvl w:val="0"/>
          <w:numId w:val="1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Review of this Policy</w:t>
      </w:r>
    </w:p>
    <w:p>
      <w:pPr>
        <w:spacing w:after="0" w:line="175"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9"/>
          <w:szCs w:val="19"/>
          <w:color w:val="auto"/>
        </w:rPr>
        <w:t>The Compensation Committee shall review this Policy at least annually and may recommend any modifications to the Board. The Board will determine whether any changes are to be made to this Policy based on the Compensation Committee’s recommendations.</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Adopted by the Board on 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351790</wp:posOffset>
            </wp:positionV>
            <wp:extent cx="6291580"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6291580" cy="2476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780" w:type="dxa"/>
            <w:vAlign w:val="bottom"/>
            <w:tcBorders>
              <w:top w:val="single" w:sz="8" w:color="auto"/>
              <w:left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Board Membership</w:t>
            </w:r>
          </w:p>
        </w:tc>
        <w:tc>
          <w:tcPr>
            <w:tcW w:w="2260" w:type="dxa"/>
            <w:vAlign w:val="bottom"/>
            <w:tcBorders>
              <w:top w:val="single" w:sz="8" w:color="auto"/>
              <w:right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Audit Committee</w:t>
            </w:r>
          </w:p>
        </w:tc>
        <w:tc>
          <w:tcPr>
            <w:tcW w:w="2320" w:type="dxa"/>
            <w:vAlign w:val="bottom"/>
            <w:tcBorders>
              <w:top w:val="single" w:sz="8" w:color="auto"/>
              <w:right w:val="single" w:sz="8" w:color="auto"/>
            </w:tcBorders>
            <w:gridSpan w:val="2"/>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8"/>
              </w:rPr>
              <w:t>Comp Committee</w:t>
            </w:r>
          </w:p>
        </w:tc>
        <w:tc>
          <w:tcPr>
            <w:tcW w:w="2280" w:type="dxa"/>
            <w:vAlign w:val="bottom"/>
            <w:tcBorders>
              <w:top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Nominating &amp; Governance</w:t>
            </w:r>
          </w:p>
        </w:tc>
        <w:tc>
          <w:tcPr>
            <w:tcW w:w="0" w:type="dxa"/>
            <w:vAlign w:val="bottom"/>
          </w:tcPr>
          <w:p>
            <w:pPr>
              <w:spacing w:after="0"/>
              <w:rPr>
                <w:sz w:val="1"/>
                <w:szCs w:val="1"/>
                <w:color w:val="auto"/>
              </w:rPr>
            </w:pPr>
          </w:p>
        </w:tc>
      </w:tr>
      <w:tr>
        <w:trPr>
          <w:trHeight w:val="206"/>
        </w:trPr>
        <w:tc>
          <w:tcPr>
            <w:tcW w:w="78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Membership</w:t>
            </w:r>
          </w:p>
        </w:tc>
        <w:tc>
          <w:tcPr>
            <w:tcW w:w="2320" w:type="dxa"/>
            <w:vAlign w:val="bottom"/>
            <w:tcBorders>
              <w:right w:val="single" w:sz="8" w:color="auto"/>
            </w:tcBorders>
            <w:gridSpan w:val="2"/>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Membership</w:t>
            </w:r>
          </w:p>
        </w:tc>
        <w:tc>
          <w:tcPr>
            <w:tcW w:w="228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Committee Membership</w:t>
            </w:r>
          </w:p>
        </w:tc>
        <w:tc>
          <w:tcPr>
            <w:tcW w:w="0" w:type="dxa"/>
            <w:vAlign w:val="bottom"/>
          </w:tcPr>
          <w:p>
            <w:pPr>
              <w:spacing w:after="0"/>
              <w:rPr>
                <w:sz w:val="1"/>
                <w:szCs w:val="1"/>
                <w:color w:val="auto"/>
              </w:rPr>
            </w:pPr>
          </w:p>
        </w:tc>
      </w:tr>
      <w:tr>
        <w:trPr>
          <w:trHeight w:val="215"/>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78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Annual Cash</w:t>
            </w:r>
          </w:p>
        </w:tc>
        <w:tc>
          <w:tcPr>
            <w:tcW w:w="116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Annual RSU</w:t>
            </w:r>
          </w:p>
        </w:tc>
        <w:tc>
          <w:tcPr>
            <w:tcW w:w="1160" w:type="dxa"/>
            <w:vAlign w:val="bottom"/>
            <w:tcBorders>
              <w:right w:val="single" w:sz="8" w:color="auto"/>
            </w:tcBorders>
          </w:tcPr>
          <w:p>
            <w:pPr>
              <w:ind w:left="260"/>
              <w:spacing w:after="0" w:line="173" w:lineRule="exact"/>
              <w:rPr>
                <w:sz w:val="20"/>
                <w:szCs w:val="20"/>
                <w:color w:val="auto"/>
              </w:rPr>
            </w:pPr>
            <w:r>
              <w:rPr>
                <w:rFonts w:ascii="Times New Roman" w:cs="Times New Roman" w:eastAsia="Times New Roman" w:hAnsi="Times New Roman"/>
                <w:sz w:val="16"/>
                <w:szCs w:val="16"/>
                <w:b w:val="1"/>
                <w:bCs w:val="1"/>
                <w:color w:val="auto"/>
              </w:rPr>
              <w:t>Annual</w:t>
            </w:r>
          </w:p>
        </w:tc>
        <w:tc>
          <w:tcPr>
            <w:tcW w:w="110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Annual RSU</w:t>
            </w:r>
          </w:p>
        </w:tc>
        <w:tc>
          <w:tcPr>
            <w:tcW w:w="1180" w:type="dxa"/>
            <w:vAlign w:val="bottom"/>
            <w:tcBorders>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Annual Cash</w:t>
            </w:r>
          </w:p>
        </w:tc>
        <w:tc>
          <w:tcPr>
            <w:tcW w:w="11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Annual RSU</w:t>
            </w:r>
          </w:p>
        </w:tc>
        <w:tc>
          <w:tcPr>
            <w:tcW w:w="1140" w:type="dxa"/>
            <w:vAlign w:val="bottom"/>
            <w:tcBorders>
              <w:right w:val="single" w:sz="8" w:color="auto"/>
            </w:tcBorders>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Annual Cash</w:t>
            </w:r>
          </w:p>
        </w:tc>
        <w:tc>
          <w:tcPr>
            <w:tcW w:w="114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Annual RSU</w:t>
            </w:r>
          </w:p>
        </w:tc>
        <w:tc>
          <w:tcPr>
            <w:tcW w:w="0" w:type="dxa"/>
            <w:vAlign w:val="bottom"/>
          </w:tcPr>
          <w:p>
            <w:pPr>
              <w:spacing w:after="0"/>
              <w:rPr>
                <w:sz w:val="1"/>
                <w:szCs w:val="1"/>
                <w:color w:val="auto"/>
              </w:rPr>
            </w:pPr>
          </w:p>
        </w:tc>
      </w:tr>
      <w:tr>
        <w:trPr>
          <w:trHeight w:val="206"/>
        </w:trPr>
        <w:tc>
          <w:tcPr>
            <w:tcW w:w="780" w:type="dxa"/>
            <w:vAlign w:val="bottom"/>
            <w:tcBorders>
              <w:left w:val="single" w:sz="8" w:color="auto"/>
              <w:right w:val="single" w:sz="8" w:color="auto"/>
            </w:tcBorders>
          </w:tcPr>
          <w:p>
            <w:pPr>
              <w:spacing w:after="0"/>
              <w:rPr>
                <w:sz w:val="17"/>
                <w:szCs w:val="17"/>
                <w:color w:val="auto"/>
              </w:rPr>
            </w:pPr>
          </w:p>
        </w:tc>
        <w:tc>
          <w:tcPr>
            <w:tcW w:w="11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Retainer**</w:t>
            </w:r>
          </w:p>
        </w:tc>
        <w:tc>
          <w:tcPr>
            <w:tcW w:w="1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Cash Comp*</w:t>
            </w:r>
          </w:p>
        </w:tc>
        <w:tc>
          <w:tcPr>
            <w:tcW w:w="11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Comp**</w:t>
            </w:r>
          </w:p>
        </w:tc>
        <w:tc>
          <w:tcPr>
            <w:tcW w:w="11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Comp*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Comp**</w:t>
            </w:r>
          </w:p>
        </w:tc>
        <w:tc>
          <w:tcPr>
            <w:tcW w:w="11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Comp*</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w:t>
            </w:r>
          </w:p>
        </w:tc>
        <w:tc>
          <w:tcPr>
            <w:tcW w:w="0" w:type="dxa"/>
            <w:vAlign w:val="bottom"/>
          </w:tcPr>
          <w:p>
            <w:pPr>
              <w:spacing w:after="0"/>
              <w:rPr>
                <w:sz w:val="1"/>
                <w:szCs w:val="1"/>
                <w:color w:val="auto"/>
              </w:rPr>
            </w:pPr>
          </w:p>
        </w:tc>
      </w:tr>
      <w:tr>
        <w:trPr>
          <w:trHeight w:val="137"/>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11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25,000</w:t>
            </w:r>
          </w:p>
        </w:tc>
        <w:tc>
          <w:tcPr>
            <w:tcW w:w="1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25,000</w:t>
            </w:r>
          </w:p>
        </w:tc>
        <w:tc>
          <w:tcPr>
            <w:tcW w:w="1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12,500</w:t>
            </w:r>
          </w:p>
        </w:tc>
        <w:tc>
          <w:tcPr>
            <w:tcW w:w="1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6,250</w:t>
            </w:r>
          </w:p>
        </w:tc>
        <w:tc>
          <w:tcPr>
            <w:tcW w:w="1140" w:type="dxa"/>
            <w:vAlign w:val="bottom"/>
            <w:tcBorders>
              <w:right w:val="single" w:sz="8" w:color="auto"/>
            </w:tcBorders>
            <w:vMerge w:val="restart"/>
          </w:tcPr>
          <w:p>
            <w:pPr>
              <w:jc w:val="right"/>
              <w:ind w:right="622"/>
              <w:spacing w:after="0"/>
              <w:rPr>
                <w:sz w:val="20"/>
                <w:szCs w:val="20"/>
                <w:color w:val="auto"/>
              </w:rPr>
            </w:pPr>
            <w:r>
              <w:rPr>
                <w:rFonts w:ascii="Times New Roman" w:cs="Times New Roman" w:eastAsia="Times New Roman" w:hAnsi="Times New Roman"/>
                <w:sz w:val="16"/>
                <w:szCs w:val="16"/>
                <w:color w:val="auto"/>
              </w:rPr>
              <w:t>6,250</w:t>
            </w:r>
          </w:p>
        </w:tc>
        <w:tc>
          <w:tcPr>
            <w:tcW w:w="1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6,250</w:t>
            </w:r>
          </w:p>
        </w:tc>
        <w:tc>
          <w:tcPr>
            <w:tcW w:w="1140" w:type="dxa"/>
            <w:vAlign w:val="bottom"/>
            <w:tcBorders>
              <w:right w:val="single" w:sz="8" w:color="auto"/>
            </w:tcBorders>
            <w:vMerge w:val="restart"/>
          </w:tcPr>
          <w:p>
            <w:pPr>
              <w:jc w:val="right"/>
              <w:ind w:right="622"/>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185"/>
        </w:trPr>
        <w:tc>
          <w:tcPr>
            <w:tcW w:w="78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Chair</w:t>
            </w:r>
          </w:p>
        </w:tc>
        <w:tc>
          <w:tcPr>
            <w:tcW w:w="11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tcBorders>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shd w:val="clear" w:color="auto" w:fill="D9D9D9"/>
          </w:tcPr>
          <w:p>
            <w:pPr>
              <w:spacing w:after="0"/>
              <w:rPr>
                <w:sz w:val="17"/>
                <w:szCs w:val="17"/>
                <w:color w:val="auto"/>
              </w:rPr>
            </w:pPr>
          </w:p>
        </w:tc>
        <w:tc>
          <w:tcPr>
            <w:tcW w:w="1180" w:type="dxa"/>
            <w:vAlign w:val="bottom"/>
            <w:tcBorders>
              <w:right w:val="single" w:sz="8" w:color="auto"/>
            </w:tcBorders>
            <w:shd w:val="clear" w:color="auto" w:fill="D9D9D9"/>
          </w:tcPr>
          <w:p>
            <w:pPr>
              <w:spacing w:after="0"/>
              <w:rPr>
                <w:sz w:val="17"/>
                <w:szCs w:val="17"/>
                <w:color w:val="auto"/>
              </w:rPr>
            </w:pPr>
          </w:p>
        </w:tc>
        <w:tc>
          <w:tcPr>
            <w:tcW w:w="1140" w:type="dxa"/>
            <w:vAlign w:val="bottom"/>
            <w:tcBorders>
              <w:right w:val="single" w:sz="8" w:color="auto"/>
            </w:tcBorders>
            <w:shd w:val="clear" w:color="auto" w:fill="D9D9D9"/>
          </w:tcPr>
          <w:p>
            <w:pPr>
              <w:spacing w:after="0"/>
              <w:rPr>
                <w:sz w:val="17"/>
                <w:szCs w:val="17"/>
                <w:color w:val="auto"/>
              </w:rPr>
            </w:pPr>
          </w:p>
        </w:tc>
        <w:tc>
          <w:tcPr>
            <w:tcW w:w="1140" w:type="dxa"/>
            <w:vAlign w:val="bottom"/>
            <w:tcBorders>
              <w:right w:val="single" w:sz="8" w:color="auto"/>
            </w:tcBorders>
            <w:shd w:val="clear" w:color="auto" w:fill="D9D9D9"/>
          </w:tcPr>
          <w:p>
            <w:pPr>
              <w:spacing w:after="0"/>
              <w:rPr>
                <w:sz w:val="17"/>
                <w:szCs w:val="17"/>
                <w:color w:val="auto"/>
              </w:rPr>
            </w:pPr>
          </w:p>
        </w:tc>
        <w:tc>
          <w:tcPr>
            <w:tcW w:w="114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80" w:type="dxa"/>
            <w:vAlign w:val="bottom"/>
            <w:tcBorders>
              <w:left w:val="single" w:sz="8" w:color="auto"/>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vMerge w:val="continue"/>
          </w:tcPr>
          <w:p>
            <w:pPr>
              <w:spacing w:after="0"/>
              <w:rPr>
                <w:sz w:val="16"/>
                <w:szCs w:val="16"/>
                <w:color w:val="auto"/>
              </w:rPr>
            </w:pPr>
          </w:p>
        </w:tc>
        <w:tc>
          <w:tcPr>
            <w:tcW w:w="1160" w:type="dxa"/>
            <w:vAlign w:val="bottom"/>
            <w:tcBorders>
              <w:bottom w:val="single" w:sz="8" w:color="auto"/>
              <w:right w:val="single" w:sz="8" w:color="auto"/>
            </w:tcBorders>
            <w:shd w:val="clear" w:color="auto" w:fill="D9D9D9"/>
          </w:tcPr>
          <w:p>
            <w:pPr>
              <w:spacing w:after="0"/>
              <w:rPr>
                <w:sz w:val="16"/>
                <w:szCs w:val="16"/>
                <w:color w:val="auto"/>
              </w:rPr>
            </w:pPr>
          </w:p>
        </w:tc>
        <w:tc>
          <w:tcPr>
            <w:tcW w:w="1100" w:type="dxa"/>
            <w:vAlign w:val="bottom"/>
            <w:tcBorders>
              <w:bottom w:val="single" w:sz="8" w:color="auto"/>
              <w:right w:val="single" w:sz="8" w:color="auto"/>
            </w:tcBorders>
            <w:shd w:val="clear" w:color="auto" w:fill="D9D9D9"/>
          </w:tcPr>
          <w:p>
            <w:pPr>
              <w:spacing w:after="0"/>
              <w:rPr>
                <w:sz w:val="16"/>
                <w:szCs w:val="16"/>
                <w:color w:val="auto"/>
              </w:rPr>
            </w:pPr>
          </w:p>
        </w:tc>
        <w:tc>
          <w:tcPr>
            <w:tcW w:w="1180" w:type="dxa"/>
            <w:vAlign w:val="bottom"/>
            <w:tcBorders>
              <w:bottom w:val="single" w:sz="8" w:color="auto"/>
              <w:right w:val="single" w:sz="8" w:color="auto"/>
            </w:tcBorders>
            <w:shd w:val="clear" w:color="auto" w:fill="D9D9D9"/>
          </w:tcPr>
          <w:p>
            <w:pPr>
              <w:spacing w:after="0"/>
              <w:rPr>
                <w:sz w:val="16"/>
                <w:szCs w:val="16"/>
                <w:color w:val="auto"/>
              </w:rPr>
            </w:pPr>
          </w:p>
        </w:tc>
        <w:tc>
          <w:tcPr>
            <w:tcW w:w="1140" w:type="dxa"/>
            <w:vAlign w:val="bottom"/>
            <w:tcBorders>
              <w:bottom w:val="single" w:sz="8" w:color="auto"/>
              <w:right w:val="single" w:sz="8" w:color="auto"/>
            </w:tcBorders>
            <w:shd w:val="clear" w:color="auto" w:fill="D9D9D9"/>
          </w:tcPr>
          <w:p>
            <w:pPr>
              <w:spacing w:after="0"/>
              <w:rPr>
                <w:sz w:val="16"/>
                <w:szCs w:val="16"/>
                <w:color w:val="auto"/>
              </w:rPr>
            </w:pPr>
          </w:p>
        </w:tc>
        <w:tc>
          <w:tcPr>
            <w:tcW w:w="1140" w:type="dxa"/>
            <w:vAlign w:val="bottom"/>
            <w:tcBorders>
              <w:bottom w:val="single" w:sz="8" w:color="auto"/>
              <w:right w:val="single" w:sz="8" w:color="auto"/>
            </w:tcBorders>
            <w:shd w:val="clear" w:color="auto" w:fill="D9D9D9"/>
          </w:tcPr>
          <w:p>
            <w:pPr>
              <w:spacing w:after="0"/>
              <w:rPr>
                <w:sz w:val="16"/>
                <w:szCs w:val="16"/>
                <w:color w:val="auto"/>
              </w:rPr>
            </w:pPr>
          </w:p>
        </w:tc>
        <w:tc>
          <w:tcPr>
            <w:tcW w:w="114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80" w:right="4220" w:firstLine="8"/>
        <w:spacing w:after="0" w:line="349" w:lineRule="auto"/>
        <w:tabs>
          <w:tab w:leader="none" w:pos="29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paid on a pro rata basis on or after the first business day of the calendar quarter. ** To be granted as noted in the Policy.</w:t>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158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6291580" cy="16510"/>
                    </a:xfrm>
                    <a:prstGeom prst="rect">
                      <a:avLst/>
                    </a:prstGeom>
                    <a:noFill/>
                  </pic:spPr>
                </pic:pic>
              </a:graphicData>
            </a:graphic>
          </wp:anchor>
        </w:drawing>
      </w:r>
    </w:p>
    <w:p>
      <w:pPr>
        <w:sectPr>
          <w:pgSz w:w="11900" w:h="16838" w:orient="portrait"/>
          <w:cols w:equalWidth="0" w:num="1">
            <w:col w:w="9900"/>
          </w:cols>
          <w:pgMar w:left="1000" w:top="114" w:right="999" w:bottom="1440" w:gutter="0" w:footer="0" w:header="0"/>
        </w:sectPr>
      </w:pPr>
    </w:p>
    <w:bookmarkStart w:id="184" w:name="page185"/>
    <w:bookmarkEnd w:id="184"/>
    <w:p>
      <w:pPr>
        <w:ind w:left="806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128905</wp:posOffset>
            </wp:positionV>
            <wp:extent cx="2287905" cy="6381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2287905" cy="63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TERRESTRIAL ENERGY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04"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Terrestrial Energy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the following policy and procedures for securities trading by the Company and the Company’s directors, employees and other individuals (our “</w:t>
      </w:r>
      <w:r>
        <w:rPr>
          <w:rFonts w:ascii="Times New Roman" w:cs="Times New Roman" w:eastAsia="Times New Roman" w:hAnsi="Times New Roman"/>
          <w:sz w:val="17"/>
          <w:szCs w:val="17"/>
          <w:u w:val="single" w:color="auto"/>
          <w:color w:val="auto"/>
        </w:rPr>
        <w:t>Insider Trading Policy</w:t>
      </w:r>
      <w:r>
        <w:rPr>
          <w:rFonts w:ascii="Times New Roman" w:cs="Times New Roman" w:eastAsia="Times New Roman" w:hAnsi="Times New Roman"/>
          <w:sz w:val="17"/>
          <w:szCs w:val="17"/>
          <w:color w:val="auto"/>
        </w:rPr>
        <w:t>”). Our Insider Trading Policy is intended to prevent the misuse of material nonpublic information, insider trading in securities, and the severe consequences associated with violations of insider trading laws. It is your obligation to review, understand, and comply with this Insider Trading Policy and applicable laws. Our Board of Directors has approved this Insider Trading Policy, and we have appointed the Company’s General Counsel and Chief Compliance Officer as the compliance officer (with their designees, the “</w:t>
      </w:r>
      <w:r>
        <w:rPr>
          <w:rFonts w:ascii="Times New Roman" w:cs="Times New Roman" w:eastAsia="Times New Roman" w:hAnsi="Times New Roman"/>
          <w:sz w:val="17"/>
          <w:szCs w:val="17"/>
          <w:u w:val="single" w:color="auto"/>
          <w:color w:val="auto"/>
        </w:rPr>
        <w:t>Compliance Officer</w:t>
      </w:r>
      <w:r>
        <w:rPr>
          <w:rFonts w:ascii="Times New Roman" w:cs="Times New Roman" w:eastAsia="Times New Roman" w:hAnsi="Times New Roman"/>
          <w:sz w:val="17"/>
          <w:szCs w:val="17"/>
          <w:color w:val="auto"/>
        </w:rPr>
        <w:t>”) to administer the policy and to be available to answer your questions.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PART I. OVERVIEW</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 xml:space="preserve">A. </w:t>
      </w:r>
      <w:r>
        <w:rPr>
          <w:rFonts w:ascii="Times New Roman" w:cs="Times New Roman" w:eastAsia="Times New Roman" w:hAnsi="Times New Roman"/>
          <w:sz w:val="17"/>
          <w:szCs w:val="17"/>
          <w:color w:val="auto"/>
        </w:rPr>
        <w:t>Who Must Comply?</w:t>
      </w:r>
    </w:p>
    <w:p>
      <w:pPr>
        <w:spacing w:after="0" w:line="224"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This Insider Trading Policy applies to all of our employees, officers, and members of our Board of Directors, including anyone employed by or acting as a director of any of the Company’s subsidiaries, as well as any consultants and contractors engaged by the Company (who are designated as “contracted staff” as defined by the Company) because they may have access to material nonpublic information about the Company (collectively, “</w:t>
      </w:r>
      <w:r>
        <w:rPr>
          <w:rFonts w:ascii="Times New Roman" w:cs="Times New Roman" w:eastAsia="Times New Roman" w:hAnsi="Times New Roman"/>
          <w:sz w:val="17"/>
          <w:szCs w:val="17"/>
          <w:u w:val="single" w:color="auto"/>
          <w:color w:val="auto"/>
        </w:rPr>
        <w:t>Insiders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left="40" w:right="79" w:firstLine="627"/>
        <w:spacing w:after="0" w:line="295" w:lineRule="auto"/>
        <w:rPr>
          <w:sz w:val="20"/>
          <w:szCs w:val="20"/>
          <w:color w:val="auto"/>
        </w:rPr>
      </w:pPr>
      <w:r>
        <w:rPr>
          <w:rFonts w:ascii="Times New Roman" w:cs="Times New Roman" w:eastAsia="Times New Roman" w:hAnsi="Times New Roman"/>
          <w:sz w:val="17"/>
          <w:szCs w:val="17"/>
          <w:color w:val="auto"/>
        </w:rPr>
        <w:t>This Insider Trading Policy, including the trading procedures included in Part II of this Insider Trading Policy (the “</w:t>
      </w:r>
      <w:r>
        <w:rPr>
          <w:rFonts w:ascii="Times New Roman" w:cs="Times New Roman" w:eastAsia="Times New Roman" w:hAnsi="Times New Roman"/>
          <w:sz w:val="17"/>
          <w:szCs w:val="17"/>
          <w:u w:val="single" w:color="auto"/>
          <w:color w:val="auto"/>
        </w:rPr>
        <w:t>Trading Procedures</w:t>
      </w:r>
      <w:r>
        <w:rPr>
          <w:rFonts w:ascii="Times New Roman" w:cs="Times New Roman" w:eastAsia="Times New Roman" w:hAnsi="Times New Roman"/>
          <w:sz w:val="17"/>
          <w:szCs w:val="17"/>
          <w:color w:val="auto"/>
        </w:rPr>
        <w:t>”) also apply to the following persons (“</w:t>
      </w:r>
      <w:r>
        <w:rPr>
          <w:rFonts w:ascii="Times New Roman" w:cs="Times New Roman" w:eastAsia="Times New Roman" w:hAnsi="Times New Roman"/>
          <w:sz w:val="17"/>
          <w:szCs w:val="17"/>
          <w:u w:val="single" w:color="auto"/>
          <w:color w:val="auto"/>
        </w:rPr>
        <w:t>Affiliated Persons</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jc w:val="both"/>
        <w:ind w:left="980" w:right="79" w:hanging="306"/>
        <w:spacing w:after="0" w:line="267" w:lineRule="auto"/>
        <w:tabs>
          <w:tab w:leader="none" w:pos="9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w:t>
      </w:r>
      <w:r>
        <w:rPr>
          <w:rFonts w:ascii="Times New Roman" w:cs="Times New Roman" w:eastAsia="Times New Roman" w:hAnsi="Times New Roman"/>
          <w:sz w:val="17"/>
          <w:szCs w:val="17"/>
          <w:u w:val="single" w:color="auto"/>
          <w:color w:val="auto"/>
        </w:rPr>
        <w:t>Family Members</w:t>
      </w:r>
      <w:r>
        <w:rPr>
          <w:rFonts w:ascii="Times New Roman" w:cs="Times New Roman" w:eastAsia="Times New Roman" w:hAnsi="Times New Roman"/>
          <w:sz w:val="17"/>
          <w:szCs w:val="17"/>
          <w:color w:val="auto"/>
        </w:rPr>
        <w:t>” (“Family Members” are (a) your spouse or domestic partner, children, stepchildren, grandchildren, parents, stepparents, grandparents, siblings and in-laws who reside in the same household as you,</w:t>
      </w:r>
    </w:p>
    <w:p>
      <w:pPr>
        <w:jc w:val="both"/>
        <w:ind w:left="980" w:right="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176" w:lineRule="exact"/>
        <w:rPr>
          <w:rFonts w:ascii="Times New Roman" w:cs="Times New Roman" w:eastAsia="Times New Roman" w:hAnsi="Times New Roman"/>
          <w:sz w:val="17"/>
          <w:szCs w:val="17"/>
          <w:color w:val="auto"/>
        </w:rPr>
      </w:pPr>
    </w:p>
    <w:p>
      <w:pPr>
        <w:jc w:val="both"/>
        <w:ind w:left="980" w:right="79" w:hanging="306"/>
        <w:spacing w:after="0" w:line="295" w:lineRule="auto"/>
        <w:tabs>
          <w:tab w:leader="none" w:pos="9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persons who execute trades on your behalf; and</w:t>
      </w:r>
    </w:p>
    <w:p>
      <w:pPr>
        <w:spacing w:after="0" w:line="222" w:lineRule="exact"/>
        <w:rPr>
          <w:rFonts w:ascii="Times New Roman" w:cs="Times New Roman" w:eastAsia="Times New Roman" w:hAnsi="Times New Roman"/>
          <w:sz w:val="17"/>
          <w:szCs w:val="17"/>
          <w:color w:val="auto"/>
        </w:rPr>
      </w:pPr>
    </w:p>
    <w:p>
      <w:pPr>
        <w:jc w:val="both"/>
        <w:ind w:left="980" w:right="79" w:hanging="306"/>
        <w:spacing w:after="0" w:line="262" w:lineRule="auto"/>
        <w:tabs>
          <w:tab w:leader="none" w:pos="9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Trading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323215</wp:posOffset>
            </wp:positionV>
            <wp:extent cx="5661660"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85" w:name="page186"/>
    <w:bookmarkEnd w:id="185"/>
    <w:p>
      <w:pPr>
        <w:jc w:val="both"/>
        <w:ind w:left="980" w:right="59"/>
        <w:spacing w:after="0" w:line="262" w:lineRule="auto"/>
        <w:rPr>
          <w:sz w:val="20"/>
          <w:szCs w:val="20"/>
          <w:color w:val="auto"/>
        </w:rPr>
      </w:pPr>
      <w:r>
        <w:rPr>
          <w:rFonts w:ascii="Times New Roman" w:cs="Times New Roman" w:eastAsia="Times New Roman" w:hAnsi="Times New Roman"/>
          <w:sz w:val="17"/>
          <w:szCs w:val="17"/>
          <w:color w:val="auto"/>
        </w:rPr>
        <w:t>procedures in compliance with securities laws, including the establishment of internal information barriers to ensure that any material nonpublic information concerning the Company of which you may become in possession is not shared with the persons at such entity making investment decisions with respect to securities issued by the Company;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77" w:lineRule="exact"/>
        <w:rPr>
          <w:sz w:val="20"/>
          <w:szCs w:val="20"/>
          <w:color w:val="auto"/>
        </w:rPr>
      </w:pPr>
    </w:p>
    <w:p>
      <w:pPr>
        <w:jc w:val="both"/>
        <w:ind w:left="40" w:right="79" w:firstLine="627"/>
        <w:spacing w:after="0" w:line="295" w:lineRule="auto"/>
        <w:rPr>
          <w:sz w:val="20"/>
          <w:szCs w:val="20"/>
          <w:color w:val="auto"/>
        </w:rPr>
      </w:pPr>
      <w:r>
        <w:rPr>
          <w:rFonts w:ascii="Times New Roman" w:cs="Times New Roman" w:eastAsia="Times New Roman" w:hAnsi="Times New Roman"/>
          <w:sz w:val="17"/>
          <w:szCs w:val="17"/>
          <w:color w:val="auto"/>
        </w:rPr>
        <w:t>You are responsible for ensuring compliance with this Insider Trading Policy, including the Trading Procedures contained herein, by all of your Affiliated Persons.</w:t>
      </w:r>
    </w:p>
    <w:p>
      <w:pPr>
        <w:spacing w:after="0" w:line="146"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Transactions in the Company’s securities by the Company are generally subject to approval by the Company’s Board of Directors. In addition, it is the Company’s policy not to engage in transactions involving the Company’s securities in violation of insider trading laws.</w:t>
      </w:r>
    </w:p>
    <w:p>
      <w:pPr>
        <w:spacing w:after="0" w:line="163" w:lineRule="exact"/>
        <w:rPr>
          <w:sz w:val="20"/>
          <w:szCs w:val="20"/>
          <w:color w:val="auto"/>
        </w:rPr>
      </w:pPr>
    </w:p>
    <w:p>
      <w:pPr>
        <w:ind w:left="360" w:hanging="312"/>
        <w:spacing w:after="0"/>
        <w:tabs>
          <w:tab w:leader="none" w:pos="360" w:val="left"/>
        </w:tabs>
        <w:numPr>
          <w:ilvl w:val="0"/>
          <w:numId w:val="1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What is Prohibited by this Insider Trading Policy?</w:t>
      </w:r>
    </w:p>
    <w:p>
      <w:pPr>
        <w:spacing w:after="0" w:line="222"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You and your Affiliated Persons are prohibited from engaging in insider trading and from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72" w:lineRule="exact"/>
        <w:rPr>
          <w:sz w:val="20"/>
          <w:szCs w:val="20"/>
          <w:color w:val="auto"/>
        </w:rPr>
      </w:pPr>
    </w:p>
    <w:p>
      <w:pPr>
        <w:ind w:left="980" w:hanging="306"/>
        <w:spacing w:after="0"/>
        <w:tabs>
          <w:tab w:leader="none" w:pos="9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 on Trading in Company Securities</w:t>
      </w:r>
    </w:p>
    <w:p>
      <w:pPr>
        <w:spacing w:after="0" w:line="222"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When you are in possession of material nonpublic information about the Company, whether positive or negative, you are prohibited from trading (whether for your account of for the account of another) in the Company’s securities, which include common shares, options to purchase common shares,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except for trades made pursuant to plans approved by the Compliance Officer in accordance with this policy that comply with Rule 10b5-1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 xml:space="preserve">The trading prohibitions in this Insider Trading Policy do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0"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 xml:space="preserve">The trading prohibitions in this Insider Trading Policy </w:t>
      </w:r>
      <w:r>
        <w:rPr>
          <w:rFonts w:ascii="Times New Roman" w:cs="Times New Roman" w:eastAsia="Times New Roman" w:hAnsi="Times New Roman"/>
          <w:sz w:val="17"/>
          <w:szCs w:val="17"/>
          <w:u w:val="single" w:color="auto"/>
          <w:color w:val="auto"/>
        </w:rPr>
        <w:t>do</w:t>
      </w:r>
      <w:r>
        <w:rPr>
          <w:rFonts w:ascii="Times New Roman" w:cs="Times New Roman" w:eastAsia="Times New Roman" w:hAnsi="Times New Roman"/>
          <w:sz w:val="17"/>
          <w:szCs w:val="17"/>
          <w:color w:val="auto"/>
        </w:rPr>
        <w:t xml:space="preserve">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579755</wp:posOffset>
            </wp:positionV>
            <wp:extent cx="5661660"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6" w:name="page187"/>
    <w:bookmarkEnd w:id="186"/>
    <w:p>
      <w:pPr>
        <w:ind w:left="980" w:hanging="306"/>
        <w:spacing w:after="0"/>
        <w:tabs>
          <w:tab w:leader="none" w:pos="9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 on Tipping</w:t>
      </w:r>
    </w:p>
    <w:p>
      <w:pPr>
        <w:spacing w:after="0" w:line="222"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Providing material nonpublic information about the Company to another person who may trade or advise others to trade on the basis of that information is known as “</w:t>
      </w:r>
      <w:r>
        <w:rPr>
          <w:rFonts w:ascii="Times New Roman" w:cs="Times New Roman" w:eastAsia="Times New Roman" w:hAnsi="Times New Roman"/>
          <w:sz w:val="17"/>
          <w:szCs w:val="17"/>
          <w:u w:val="single" w:color="auto"/>
          <w:color w:val="auto"/>
        </w:rPr>
        <w:t>tipping</w:t>
      </w:r>
      <w:r>
        <w:rPr>
          <w:rFonts w:ascii="Times New Roman" w:cs="Times New Roman" w:eastAsia="Times New Roman" w:hAnsi="Times New Roman"/>
          <w:sz w:val="17"/>
          <w:szCs w:val="17"/>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77" w:lineRule="exact"/>
        <w:rPr>
          <w:sz w:val="20"/>
          <w:szCs w:val="20"/>
          <w:color w:val="auto"/>
        </w:rPr>
      </w:pPr>
    </w:p>
    <w:p>
      <w:pPr>
        <w:ind w:left="980" w:hanging="306"/>
        <w:spacing w:after="0"/>
        <w:tabs>
          <w:tab w:leader="none" w:pos="9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 on Trading in Securities of Other Companies</w:t>
      </w:r>
    </w:p>
    <w:p>
      <w:pPr>
        <w:spacing w:after="0" w:line="222" w:lineRule="exact"/>
        <w:rPr>
          <w:sz w:val="20"/>
          <w:szCs w:val="20"/>
          <w:color w:val="auto"/>
        </w:rPr>
      </w:pPr>
    </w:p>
    <w:p>
      <w:pPr>
        <w:jc w:val="both"/>
        <w:ind w:left="40" w:right="59" w:firstLine="627"/>
        <w:spacing w:after="0" w:line="261" w:lineRule="auto"/>
        <w:rPr>
          <w:sz w:val="20"/>
          <w:szCs w:val="20"/>
          <w:color w:val="auto"/>
        </w:rPr>
      </w:pPr>
      <w:r>
        <w:rPr>
          <w:rFonts w:ascii="Times New Roman" w:cs="Times New Roman" w:eastAsia="Times New Roman" w:hAnsi="Times New Roman"/>
          <w:sz w:val="17"/>
          <w:szCs w:val="17"/>
          <w:color w:val="auto"/>
        </w:rPr>
        <w:t>This policy’s prohibitions against insider trading and tipping also apply to trading in securities of other companies, including the Company’s customers, suppliers, partners and other enterprises with which we are working (such as when negotiating an acquisition, investment or other transaction that could be material to the other company). Whenever, during the course of your service to or employment by the Company,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 that company, give trading advice about that company, tip or disclose that information, pass it on to others, or engage in any other action to take advantage of that information.</w:t>
      </w:r>
    </w:p>
    <w:p>
      <w:pPr>
        <w:spacing w:after="0" w:line="179" w:lineRule="exact"/>
        <w:rPr>
          <w:sz w:val="20"/>
          <w:szCs w:val="20"/>
          <w:color w:val="auto"/>
        </w:rPr>
      </w:pPr>
    </w:p>
    <w:p>
      <w:pPr>
        <w:jc w:val="both"/>
        <w:ind w:left="40" w:right="79" w:firstLine="627"/>
        <w:spacing w:after="0" w:line="295" w:lineRule="auto"/>
        <w:rPr>
          <w:sz w:val="20"/>
          <w:szCs w:val="20"/>
          <w:color w:val="auto"/>
        </w:rPr>
      </w:pPr>
      <w:r>
        <w:rPr>
          <w:rFonts w:ascii="Times New Roman" w:cs="Times New Roman" w:eastAsia="Times New Roman" w:hAnsi="Times New Roman"/>
          <w:sz w:val="17"/>
          <w:szCs w:val="17"/>
          <w:color w:val="auto"/>
        </w:rPr>
        <w:t>If your work regularly involves handling or discussing confidential information of one of our partners, suppliers or customers, you should consult with the Compliance Officer before trading in any of that company’s securities.</w:t>
      </w:r>
    </w:p>
    <w:p>
      <w:pPr>
        <w:spacing w:after="0" w:line="146" w:lineRule="exact"/>
        <w:rPr>
          <w:sz w:val="20"/>
          <w:szCs w:val="20"/>
          <w:color w:val="auto"/>
        </w:rPr>
      </w:pPr>
    </w:p>
    <w:p>
      <w:pPr>
        <w:ind w:left="980" w:hanging="306"/>
        <w:spacing w:after="0"/>
        <w:tabs>
          <w:tab w:leader="none" w:pos="9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Duration of Trading Prohibitions</w:t>
      </w:r>
    </w:p>
    <w:p>
      <w:pPr>
        <w:spacing w:after="0" w:line="222"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68"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This Insider Trading Policy applies to you and your Affiliated Persons so long as you are associated with the Company. If you leave the Company for any reason, this Insider Trading Policy, including, if applicable, the Trading Procedures contained herein, will continue to apply to you and your Affiliated Persons until the later of: (1) the third trading day following the public release of earnings for the fiscal quarter in which you leave the Company or (2) the third trading day after any material nonpublic information known to you has become public or is no longer material.</w:t>
      </w:r>
    </w:p>
    <w:p>
      <w:pPr>
        <w:spacing w:after="0" w:line="170" w:lineRule="exact"/>
        <w:rPr>
          <w:sz w:val="20"/>
          <w:szCs w:val="20"/>
          <w:color w:val="auto"/>
        </w:rPr>
      </w:pPr>
    </w:p>
    <w:p>
      <w:pPr>
        <w:ind w:left="980" w:hanging="306"/>
        <w:spacing w:after="0"/>
        <w:tabs>
          <w:tab w:leader="none" w:pos="9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Trading Periods</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From time to time, in connection with an announcement of material information about the Company or when significant developments or announcements are anticipated, we may impose a temporary prohibition on trading in our securities that applies to specified groups of employees or, in rare instances, all persons covered by this policy. In such event, you will be notified by e-mail and/or other means of the imposition and expected duration of the trading prohibition. During that period, no person covered by such a notice may trade in our securities (subject to the limited exceptions set forth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583565</wp:posOffset>
            </wp:positionV>
            <wp:extent cx="5661660"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7" w:name="page188"/>
    <w:bookmarkEnd w:id="187"/>
    <w:p>
      <w:pPr>
        <w:ind w:left="360" w:hanging="312"/>
        <w:spacing w:after="0"/>
        <w:tabs>
          <w:tab w:leader="none" w:pos="360" w:val="left"/>
        </w:tabs>
        <w:numPr>
          <w:ilvl w:val="0"/>
          <w:numId w:val="1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What is Material Nonpublic Information?</w:t>
      </w:r>
    </w:p>
    <w:p>
      <w:pPr>
        <w:spacing w:after="0" w:line="222"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This Insider Trading Policy prohibits you from trading in a company’s securities if you are in possession of information about the company that is both “</w:t>
      </w:r>
      <w:r>
        <w:rPr>
          <w:rFonts w:ascii="Times New Roman" w:cs="Times New Roman" w:eastAsia="Times New Roman" w:hAnsi="Times New Roman"/>
          <w:sz w:val="17"/>
          <w:szCs w:val="17"/>
          <w:i w:val="1"/>
          <w:iCs w:val="1"/>
          <w:color w:val="auto"/>
        </w:rPr>
        <w:t>material</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nonpublic</w:t>
      </w:r>
      <w:r>
        <w:rPr>
          <w:rFonts w:ascii="Times New Roman" w:cs="Times New Roman" w:eastAsia="Times New Roman" w:hAnsi="Times New Roman"/>
          <w:sz w:val="17"/>
          <w:szCs w:val="17"/>
          <w:color w:val="auto"/>
        </w:rPr>
        <w:t>.” If you have a question whether certain information you are aware of is material or has been made public, you are encouraged to consult with the Compliance Officer.</w:t>
      </w:r>
    </w:p>
    <w:p>
      <w:pPr>
        <w:spacing w:after="0" w:line="163" w:lineRule="exact"/>
        <w:rPr>
          <w:sz w:val="20"/>
          <w:szCs w:val="20"/>
          <w:color w:val="auto"/>
        </w:rPr>
      </w:pPr>
    </w:p>
    <w:p>
      <w:pPr>
        <w:ind w:left="980" w:hanging="306"/>
        <w:spacing w:after="0"/>
        <w:tabs>
          <w:tab w:leader="none" w:pos="98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Information</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Information about us or any other company is “material” if it could reasonably be expected to affect the investment decisions of a shareholder or potential investor, or if the disclosure of the information could reasonably be expected to significantly alter the total mix of information in the marketplace about us or any other company. We speak mostly in this Insider Trading Policy about determining whether information about us is material and nonpublic, but the same analysis applies to information that would preclude you from trading in securities of other companies.</w:t>
      </w:r>
    </w:p>
    <w:p>
      <w:pPr>
        <w:spacing w:after="0" w:line="170" w:lineRule="exact"/>
        <w:rPr>
          <w:sz w:val="20"/>
          <w:szCs w:val="20"/>
          <w:color w:val="auto"/>
        </w:rPr>
      </w:pPr>
    </w:p>
    <w:p>
      <w:pPr>
        <w:ind w:left="40" w:right="99" w:firstLine="627"/>
        <w:spacing w:after="0" w:line="269" w:lineRule="auto"/>
        <w:rPr>
          <w:sz w:val="20"/>
          <w:szCs w:val="20"/>
          <w:color w:val="auto"/>
        </w:rPr>
      </w:pPr>
      <w:r>
        <w:rPr>
          <w:rFonts w:ascii="Times New Roman" w:cs="Times New Roman" w:eastAsia="Times New Roman" w:hAnsi="Times New Roman"/>
          <w:sz w:val="17"/>
          <w:szCs w:val="17"/>
          <w:color w:val="auto"/>
        </w:rPr>
        <w:t>In simple terms, material information is any type of information that could reasonably be expected to affect the market price of our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68" w:lineRule="exact"/>
        <w:rPr>
          <w:sz w:val="20"/>
          <w:szCs w:val="20"/>
          <w:color w:val="auto"/>
        </w:rPr>
      </w:pPr>
    </w:p>
    <w:p>
      <w:pPr>
        <w:ind w:left="980" w:right="79" w:hanging="306"/>
        <w:spacing w:after="0" w:line="295"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 and any change to previously announced earnings guidance;</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results (annual, quarterly or otherwise) that are known but have not been publicly disclosed;</w:t>
      </w:r>
    </w:p>
    <w:p>
      <w:pPr>
        <w:spacing w:after="0" w:line="222" w:lineRule="exact"/>
        <w:rPr>
          <w:rFonts w:ascii="Times New Roman" w:cs="Times New Roman" w:eastAsia="Times New Roman" w:hAnsi="Times New Roman"/>
          <w:sz w:val="17"/>
          <w:szCs w:val="17"/>
          <w:color w:val="auto"/>
        </w:rPr>
      </w:pPr>
    </w:p>
    <w:p>
      <w:pPr>
        <w:ind w:left="980" w:right="79" w:hanging="306"/>
        <w:spacing w:after="0" w:line="267"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restatements of the Company’s financial statements, or material impairments, write-offs or restructurings;</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auditors or auditor notification that the Company may no longer rely on an auditor’s audit report;</w:t>
      </w:r>
    </w:p>
    <w:p>
      <w:pPr>
        <w:spacing w:after="0" w:line="222"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proposed corporate mergers, acquisitions, tender offers, joint ventures or dispositions of significant assets;</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our Board of Directors or other major personnel changes;</w:t>
      </w:r>
    </w:p>
    <w:p>
      <w:pPr>
        <w:spacing w:after="0" w:line="222"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actual or threatened litigation, governmental investigations or regulatory proceedings or major developments in such matters;</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and incidents, including the discovery of significant vulnerabilities or breaches;</w:t>
      </w:r>
    </w:p>
    <w:p>
      <w:pPr>
        <w:spacing w:after="0" w:line="222"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products, customers, suppliers, orders, contracts or financing sources (e.g., the entry into or termination of a major contract);</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Company’s pricing or cost structure;</w:t>
      </w:r>
    </w:p>
    <w:p>
      <w:pPr>
        <w:spacing w:after="0" w:line="222"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dividend policy, declarations of stock splits, adoption of stock repurchase programs, option repricings, stock splits, or securities offerings or other financings or notice of delisting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568325</wp:posOffset>
            </wp:positionV>
            <wp:extent cx="5661660"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8" w:name="page189"/>
    <w:bookmarkEnd w:id="188"/>
    <w:p>
      <w:pPr>
        <w:ind w:left="980"/>
        <w:spacing w:after="0"/>
        <w:rPr>
          <w:sz w:val="20"/>
          <w:szCs w:val="20"/>
          <w:color w:val="auto"/>
        </w:rPr>
      </w:pPr>
      <w:r>
        <w:rPr>
          <w:rFonts w:ascii="Times New Roman" w:cs="Times New Roman" w:eastAsia="Times New Roman" w:hAnsi="Times New Roman"/>
          <w:sz w:val="17"/>
          <w:szCs w:val="17"/>
          <w:color w:val="auto"/>
        </w:rPr>
        <w:t>of our securities from trading on a securities exchange;</w:t>
      </w:r>
    </w:p>
    <w:p>
      <w:pPr>
        <w:spacing w:after="0" w:line="222" w:lineRule="exact"/>
        <w:rPr>
          <w:sz w:val="20"/>
          <w:szCs w:val="20"/>
          <w:color w:val="auto"/>
        </w:rPr>
      </w:pPr>
    </w:p>
    <w:p>
      <w:pPr>
        <w:ind w:left="980" w:hanging="306"/>
        <w:spacing w:after="0"/>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creation of significant financial obligations;</w:t>
      </w:r>
    </w:p>
    <w:p>
      <w:pPr>
        <w:spacing w:after="0" w:line="222"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defaults under our credit agreements or indentures, or the existence of material financial liquidity problems; and</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bankruptcies or receiverships.</w:t>
      </w:r>
    </w:p>
    <w:p>
      <w:pPr>
        <w:spacing w:after="0" w:line="222"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By including the list above, we do not mean to imply that each of these items above is always material. Rather, the information and events on the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No “bright-line” standard or list of items can adequately address the range of situations that may arise. Furthermore, we cannot create an exclusive list of events and information that have a higher likelihood of being considered material.</w:t>
      </w:r>
    </w:p>
    <w:p>
      <w:pPr>
        <w:spacing w:after="0" w:line="172" w:lineRule="exact"/>
        <w:rPr>
          <w:sz w:val="20"/>
          <w:szCs w:val="20"/>
          <w:color w:val="auto"/>
        </w:rPr>
      </w:pPr>
    </w:p>
    <w:p>
      <w:pPr>
        <w:ind w:left="980" w:hanging="306"/>
        <w:spacing w:after="0"/>
        <w:tabs>
          <w:tab w:leader="none" w:pos="9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“Nonpublic” Information</w:t>
      </w:r>
    </w:p>
    <w:p>
      <w:pPr>
        <w:spacing w:after="0" w:line="222" w:lineRule="exact"/>
        <w:rPr>
          <w:sz w:val="20"/>
          <w:szCs w:val="20"/>
          <w:color w:val="auto"/>
        </w:rPr>
      </w:pPr>
    </w:p>
    <w:p>
      <w:pPr>
        <w:jc w:val="both"/>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Material information is “nonpublic” if it has not been disseminated in a manner making it available to investors generally.</w:t>
      </w:r>
    </w:p>
    <w:p>
      <w:pPr>
        <w:spacing w:after="0" w:line="146" w:lineRule="exact"/>
        <w:rPr>
          <w:sz w:val="20"/>
          <w:szCs w:val="20"/>
          <w:color w:val="auto"/>
        </w:rPr>
      </w:pPr>
    </w:p>
    <w:p>
      <w:pPr>
        <w:jc w:val="both"/>
        <w:ind w:left="40" w:right="59" w:firstLine="627"/>
        <w:spacing w:after="0" w:line="261" w:lineRule="auto"/>
        <w:rPr>
          <w:sz w:val="20"/>
          <w:szCs w:val="20"/>
          <w:color w:val="auto"/>
        </w:rPr>
      </w:pPr>
      <w:r>
        <w:rPr>
          <w:rFonts w:ascii="Times New Roman" w:cs="Times New Roman" w:eastAsia="Times New Roman" w:hAnsi="Times New Roman"/>
          <w:sz w:val="17"/>
          <w:szCs w:val="17"/>
          <w:color w:val="auto"/>
        </w:rPr>
        <w:t>To show that information is public, it is necessary to point to some fact that establishes that the information has become publicly available, such as the filing of a report with the SEC, the distribution of a press release, publishing the information on our website or via social media if such posting is a regular way we communicate with investors, or by other means that are reasonably designed to provide broad public access. Before a person with material nonpublic information can trade, there also must be adequate time for the market as a whole to absorb the information that has been disclosed. For the purposes of this Insider Trading Policy, information will be considered public after the completion of two full days of trading following the Company’s public release of the information. For such purposes, a full day of trading means an entire calendar day in which a session of regular trading hours on the NYSE or Nasdaq between 9:30 a.m. and 4:00 p.m. Eastern Time (or such earlier close time as has been set by exchange rules) has occurred.</w:t>
      </w:r>
    </w:p>
    <w:p>
      <w:pPr>
        <w:spacing w:after="0" w:line="175"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168" w:lineRule="exact"/>
        <w:rPr>
          <w:sz w:val="20"/>
          <w:szCs w:val="20"/>
          <w:color w:val="auto"/>
        </w:rPr>
      </w:pPr>
    </w:p>
    <w:p>
      <w:pPr>
        <w:ind w:left="360" w:hanging="312"/>
        <w:spacing w:after="0"/>
        <w:tabs>
          <w:tab w:leader="none" w:pos="360" w:val="left"/>
        </w:tabs>
        <w:numPr>
          <w:ilvl w:val="0"/>
          <w:numId w:val="14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What are the Penalties for Insider Trading and Noncompliance with this Insider Trading Policy?</w:t>
      </w:r>
    </w:p>
    <w:p>
      <w:pPr>
        <w:spacing w:after="0" w:line="222"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Both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and the national securities exchanges, through the Financial Industry Regulatory Authority (“</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investigate and are very effective at detecting insider trading. The U.S. government pursues insider trading violations vigorously. For instance, cases have been successfully prosecuted against trading by employees in foreign accounts, trading by family members and friends, and trading involving only a small number of shares.</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penalties for violating insider trading or tipping rules can be severe and include:</w:t>
      </w:r>
    </w:p>
    <w:p>
      <w:pPr>
        <w:spacing w:after="0" w:line="222" w:lineRule="exact"/>
        <w:rPr>
          <w:sz w:val="20"/>
          <w:szCs w:val="20"/>
          <w:color w:val="auto"/>
        </w:rPr>
      </w:pPr>
    </w:p>
    <w:p>
      <w:pPr>
        <w:ind w:left="980" w:hanging="306"/>
        <w:spacing w:after="0"/>
        <w:tabs>
          <w:tab w:leader="none" w:pos="9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forfeiting any profit gained or loss avoided by the trading;</w:t>
      </w:r>
    </w:p>
    <w:p>
      <w:pPr>
        <w:spacing w:after="0" w:line="22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loss suffered by the persons who, contemporaneously with the purchase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617220</wp:posOffset>
            </wp:positionV>
            <wp:extent cx="5661660"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9" w:name="page190"/>
    <w:bookmarkEnd w:id="189"/>
    <w:p>
      <w:pPr>
        <w:ind w:left="980"/>
        <w:spacing w:after="0"/>
        <w:rPr>
          <w:sz w:val="20"/>
          <w:szCs w:val="20"/>
          <w:color w:val="auto"/>
        </w:rPr>
      </w:pPr>
      <w:r>
        <w:rPr>
          <w:rFonts w:ascii="Times New Roman" w:cs="Times New Roman" w:eastAsia="Times New Roman" w:hAnsi="Times New Roman"/>
          <w:sz w:val="17"/>
          <w:szCs w:val="17"/>
          <w:color w:val="auto"/>
        </w:rPr>
        <w:t>of securities that are subject of such violation, have purchased or sold, as applicable, securities of the same class;</w:t>
      </w:r>
    </w:p>
    <w:p>
      <w:pPr>
        <w:spacing w:after="0" w:line="222" w:lineRule="exact"/>
        <w:rPr>
          <w:sz w:val="20"/>
          <w:szCs w:val="20"/>
          <w:color w:val="auto"/>
        </w:rPr>
      </w:pPr>
    </w:p>
    <w:p>
      <w:pPr>
        <w:ind w:left="980" w:hanging="306"/>
        <w:spacing w:after="0"/>
        <w:tabs>
          <w:tab w:leader="none" w:pos="9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criminal penalties of up to $5,000,000;</w:t>
      </w:r>
    </w:p>
    <w:p>
      <w:pPr>
        <w:spacing w:after="0" w:line="22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civil penalties of up to three times the profit made or loss avoided; and</w:t>
      </w:r>
    </w:p>
    <w:p>
      <w:pPr>
        <w:spacing w:after="0" w:line="22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imprisonment for up to 20 years.</w:t>
      </w:r>
    </w:p>
    <w:p>
      <w:pPr>
        <w:spacing w:after="0" w:line="222"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The Company and/or the supervisors of the person engaged in insider trading may also be required to pay civil penalties of fines starting from more than $2 million up to three times the profit made or loss avoided, as well as criminal penalties of up to $25,000,000, and could under certain circumstances be subject to private lawsuits.</w:t>
      </w:r>
    </w:p>
    <w:p>
      <w:pPr>
        <w:spacing w:after="0" w:line="163"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Violation of this Insider Trading Policy or any federal or state insider trading laws may subject you to disciplinary action by the Company, including termination of your employment or other relationship with the Company. The Company reserves the right to determine, in our own discretion and on the basis of the information available to us, whether this Insider Trading Policy has been violated. We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2" w:lineRule="exact"/>
        <w:rPr>
          <w:sz w:val="20"/>
          <w:szCs w:val="20"/>
          <w:color w:val="auto"/>
        </w:rPr>
      </w:pPr>
    </w:p>
    <w:p>
      <w:pPr>
        <w:ind w:left="360" w:hanging="312"/>
        <w:spacing w:after="0"/>
        <w:tabs>
          <w:tab w:leader="none" w:pos="360" w:val="left"/>
        </w:tabs>
        <w:numPr>
          <w:ilvl w:val="0"/>
          <w:numId w:val="1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How Do You Report a Violation of this Insider Trading Policy?</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or employee of the Company, please refer to the Company’s Whistleblower Policy for the various methods by which you may report any such violation.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PART II. TRADING PROCEDURES</w:t>
      </w:r>
    </w:p>
    <w:p>
      <w:pPr>
        <w:spacing w:after="0" w:line="222" w:lineRule="exact"/>
        <w:rPr>
          <w:sz w:val="20"/>
          <w:szCs w:val="20"/>
          <w:color w:val="auto"/>
        </w:rPr>
      </w:pPr>
    </w:p>
    <w:p>
      <w:pPr>
        <w:ind w:left="360" w:hanging="312"/>
        <w:spacing w:after="0"/>
        <w:tabs>
          <w:tab w:leader="none" w:pos="360" w:val="left"/>
        </w:tabs>
        <w:numPr>
          <w:ilvl w:val="0"/>
          <w:numId w:val="1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Special Trading Restrictions Applicable to Insiders</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addition to needing to comply with the restrictions on trading in our securities set forth above, Insiders and their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Affiliated Persons are subject to the following special trading restrictions:</w:t>
      </w:r>
    </w:p>
    <w:p>
      <w:pPr>
        <w:spacing w:after="0" w:line="204" w:lineRule="exact"/>
        <w:rPr>
          <w:sz w:val="20"/>
          <w:szCs w:val="20"/>
          <w:color w:val="auto"/>
        </w:rPr>
      </w:pPr>
    </w:p>
    <w:p>
      <w:pPr>
        <w:ind w:left="980" w:hanging="306"/>
        <w:spacing w:after="0"/>
        <w:tabs>
          <w:tab w:leader="none" w:pos="9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Quarterly Blackout Periods.</w:t>
      </w:r>
    </w:p>
    <w:p>
      <w:pPr>
        <w:spacing w:after="0" w:line="222"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Insiders and their Affiliated Entities may not conduct any transactions involving the Company’s securities (other than as specified by this Policy), during quarterly blackout periods. Even if you are not an Insider, you should exercise caution when engaging in transactions during quarterly blackout periods because of the heightened risk of insider trading exposure.</w:t>
      </w:r>
    </w:p>
    <w:p>
      <w:pPr>
        <w:spacing w:after="0" w:line="163" w:lineRule="exact"/>
        <w:rPr>
          <w:sz w:val="20"/>
          <w:szCs w:val="20"/>
          <w:color w:val="auto"/>
        </w:rPr>
      </w:pPr>
    </w:p>
    <w:p>
      <w:pPr>
        <w:jc w:val="both"/>
        <w:ind w:left="40" w:right="59" w:firstLine="627"/>
        <w:spacing w:after="0" w:line="263" w:lineRule="auto"/>
        <w:rPr>
          <w:sz w:val="20"/>
          <w:szCs w:val="20"/>
          <w:color w:val="auto"/>
        </w:rPr>
      </w:pPr>
      <w:r>
        <w:rPr>
          <w:rFonts w:ascii="Times New Roman" w:cs="Times New Roman" w:eastAsia="Times New Roman" w:hAnsi="Times New Roman"/>
          <w:sz w:val="17"/>
          <w:szCs w:val="17"/>
          <w:color w:val="auto"/>
        </w:rPr>
        <w:t>Quarterly blackout periods start at the beginning of the fifteenth calendar day of the last month of each fiscal quarter and end after the completion of two full trading days following the date of the public release of the Company’s financial results for that quarter. In other words, these persons may only conduct transactions in Company Securities during the open trading window period beginning on the third trading day following the public release of the Company’s quarterly earnings and ending fifteen days prior to the close of the next fiscal quarter. If you are in possession of material nonpublic information, you should not trade in the Company’s securities until the information has been made publicly available or is no longer material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720725</wp:posOffset>
            </wp:positionV>
            <wp:extent cx="5661660"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0" w:name="page191"/>
    <w:bookmarkEnd w:id="190"/>
    <w:p>
      <w:pPr>
        <w:ind w:left="980" w:hanging="306"/>
        <w:spacing w:after="0"/>
        <w:tabs>
          <w:tab w:leader="none" w:pos="9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Closed Trading Periods</w:t>
      </w:r>
    </w:p>
    <w:p>
      <w:pPr>
        <w:spacing w:after="0" w:line="222"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The Compliance Officer may designate, from time to time, a “Special Closed Window” during what would temporally be a permitted trading window. During a Special Closed Window, designated Insiders (which could be all Insiders or a subset of them) may not trade in the Company’s securities. The Compliance Officer may also apply a Special Closed Window to Insiders or a subset of them to the trading in the securities of certain other companies, as deemed appropriate or advisable, including certain of the Company’s peers or competitors. The existence of a Special Closed Window will not be announced to the Company generally, should not be communicated to any other person, and may itself be considered under this Insider Trading Policy to be material nonpublic information about the Company.</w:t>
      </w:r>
    </w:p>
    <w:p>
      <w:pPr>
        <w:spacing w:after="0" w:line="177" w:lineRule="exact"/>
        <w:rPr>
          <w:sz w:val="20"/>
          <w:szCs w:val="20"/>
          <w:color w:val="auto"/>
        </w:rPr>
      </w:pPr>
    </w:p>
    <w:p>
      <w:pPr>
        <w:ind w:left="980" w:hanging="306"/>
        <w:spacing w:after="0"/>
        <w:tabs>
          <w:tab w:leader="none" w:pos="9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Prohibited Transactions</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following transactions are prohibited unless authorized by the Audit Committee of the Board of Directors:</w:t>
      </w:r>
    </w:p>
    <w:p>
      <w:pPr>
        <w:spacing w:after="0" w:line="220" w:lineRule="exact"/>
        <w:rPr>
          <w:sz w:val="20"/>
          <w:szCs w:val="20"/>
          <w:color w:val="auto"/>
        </w:rPr>
      </w:pPr>
    </w:p>
    <w:p>
      <w:pPr>
        <w:ind w:left="980" w:right="79" w:hanging="306"/>
        <w:spacing w:after="0" w:line="297" w:lineRule="auto"/>
        <w:tabs>
          <w:tab w:leader="none" w:pos="9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Short Sales</w:t>
      </w:r>
      <w:r>
        <w:rPr>
          <w:rFonts w:ascii="Times New Roman" w:cs="Times New Roman" w:eastAsia="Times New Roman" w:hAnsi="Times New Roman"/>
          <w:sz w:val="17"/>
          <w:szCs w:val="17"/>
          <w:color w:val="auto"/>
        </w:rPr>
        <w:t>. You many not at any time sell any securities of the Company that are not owned by you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of the sale (a “short sale”).</w:t>
      </w:r>
    </w:p>
    <w:p>
      <w:pPr>
        <w:spacing w:after="0" w:line="142" w:lineRule="exact"/>
        <w:rPr>
          <w:rFonts w:ascii="Times New Roman" w:cs="Times New Roman" w:eastAsia="Times New Roman" w:hAnsi="Times New Roman"/>
          <w:sz w:val="17"/>
          <w:szCs w:val="17"/>
          <w:color w:val="auto"/>
        </w:rPr>
      </w:pPr>
    </w:p>
    <w:p>
      <w:pPr>
        <w:jc w:val="both"/>
        <w:ind w:left="980" w:right="79" w:hanging="306"/>
        <w:spacing w:after="0" w:line="270" w:lineRule="auto"/>
        <w:tabs>
          <w:tab w:leader="none" w:pos="9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Purchases or Sales of Derivative Securities or Hedging Transactions. </w:t>
      </w:r>
      <w:r>
        <w:rPr>
          <w:rFonts w:ascii="Times New Roman" w:cs="Times New Roman" w:eastAsia="Times New Roman" w:hAnsi="Times New Roman"/>
          <w:sz w:val="17"/>
          <w:szCs w:val="17"/>
          <w:color w:val="auto"/>
        </w:rPr>
        <w:t>You may not buy or sell puts, calls,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derivative securities of the Company or any derivative securities that provide the economic equivalent of ownership of any of the Company’s securities or an opportunity, direct or indirect, to profit from any change in the value of our securities or engage in any other hedging transaction with respect to our securities, at any time.</w:t>
      </w:r>
    </w:p>
    <w:p>
      <w:pPr>
        <w:spacing w:after="0" w:line="164" w:lineRule="exact"/>
        <w:rPr>
          <w:rFonts w:ascii="Times New Roman" w:cs="Times New Roman" w:eastAsia="Times New Roman" w:hAnsi="Times New Roman"/>
          <w:sz w:val="17"/>
          <w:szCs w:val="17"/>
          <w:color w:val="auto"/>
        </w:rPr>
      </w:pPr>
    </w:p>
    <w:p>
      <w:pPr>
        <w:ind w:left="980" w:right="79" w:hanging="306"/>
        <w:spacing w:after="0" w:line="297" w:lineRule="auto"/>
        <w:tabs>
          <w:tab w:leader="none" w:pos="9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Company Securities Subject to Margin Calls. </w:t>
      </w:r>
      <w:r>
        <w:rPr>
          <w:rFonts w:ascii="Times New Roman" w:cs="Times New Roman" w:eastAsia="Times New Roman" w:hAnsi="Times New Roman"/>
          <w:sz w:val="17"/>
          <w:szCs w:val="17"/>
          <w:color w:val="auto"/>
        </w:rPr>
        <w:t>You may not use the Company’s securities as collateral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margin account.</w:t>
      </w:r>
    </w:p>
    <w:p>
      <w:pPr>
        <w:spacing w:after="0" w:line="14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Pledges</w:t>
      </w:r>
      <w:r>
        <w:rPr>
          <w:rFonts w:ascii="Times New Roman" w:cs="Times New Roman" w:eastAsia="Times New Roman" w:hAnsi="Times New Roman"/>
          <w:sz w:val="17"/>
          <w:szCs w:val="17"/>
          <w:color w:val="auto"/>
        </w:rPr>
        <w:t>. You may not pledge Company securities as collateral for a loan (or modify an existing pledge).</w:t>
      </w:r>
    </w:p>
    <w:p>
      <w:pPr>
        <w:spacing w:after="0" w:line="224" w:lineRule="exact"/>
        <w:rPr>
          <w:sz w:val="20"/>
          <w:szCs w:val="20"/>
          <w:color w:val="auto"/>
        </w:rPr>
      </w:pPr>
    </w:p>
    <w:p>
      <w:pPr>
        <w:ind w:left="980" w:hanging="306"/>
        <w:spacing w:after="0"/>
        <w:tabs>
          <w:tab w:leader="none" w:pos="98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Gifts and Other Distributions in Kind.</w:t>
      </w:r>
    </w:p>
    <w:p>
      <w:pPr>
        <w:spacing w:after="0" w:line="222"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No Insider may donate or make any other transfer of Company securities in kind without consideration during a period when the Insider is not permitted to trade. In addition to charitable donations or gifts to family members, friends, trusts or others, this obligation applies to distributions by limited partnerships that are subject to this Insider Trading Policy to their limited partners.</w:t>
      </w:r>
    </w:p>
    <w:p>
      <w:pPr>
        <w:spacing w:after="0" w:line="168" w:lineRule="exact"/>
        <w:rPr>
          <w:sz w:val="20"/>
          <w:szCs w:val="20"/>
          <w:color w:val="auto"/>
        </w:rPr>
      </w:pPr>
    </w:p>
    <w:p>
      <w:pPr>
        <w:ind w:left="980" w:hanging="306"/>
        <w:spacing w:after="0"/>
        <w:tabs>
          <w:tab w:leader="none" w:pos="9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Trading During Retirement Plan Blackout Periods.</w:t>
      </w:r>
    </w:p>
    <w:p>
      <w:pPr>
        <w:spacing w:after="0" w:line="222"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If we adopt a policy to allow ownership of Company stock in our 401(k) or other retirement plan, then no Insider may trade in any Company securities, which were acquired in connection with such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our controlled group are prohibited from trading in Company securities through their plan accounts. Insiders will receive advance notice of any such blackout period from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588010</wp:posOffset>
            </wp:positionV>
            <wp:extent cx="5661660"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1" w:name="page192"/>
    <w:bookmarkEnd w:id="191"/>
    <w:p>
      <w:pPr>
        <w:ind w:left="980" w:hanging="306"/>
        <w:spacing w:after="0"/>
        <w:tabs>
          <w:tab w:leader="none" w:pos="9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Standing and Limit Orders.</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Standing and limit orders (except standing orders under approved Rule 10b5-1 Plans (see Section C.1. below)) should be used only for a very brief period of time. The problem with purchases or sales resulting from standing or limit instructions to a broker is that there is no control over the timing of the transaction. The broker could execute a transaction when you are in possession of material nonpublic information. Standing or limit orders therefore should not extend beyond the close of market on the trading day in which they are placed.</w:t>
      </w:r>
    </w:p>
    <w:p>
      <w:pPr>
        <w:spacing w:after="0" w:line="170" w:lineRule="exact"/>
        <w:rPr>
          <w:sz w:val="20"/>
          <w:szCs w:val="20"/>
          <w:color w:val="auto"/>
        </w:rPr>
      </w:pPr>
    </w:p>
    <w:p>
      <w:pPr>
        <w:ind w:left="360" w:hanging="312"/>
        <w:spacing w:after="0"/>
        <w:tabs>
          <w:tab w:leader="none" w:pos="360" w:val="left"/>
        </w:tabs>
        <w:numPr>
          <w:ilvl w:val="0"/>
          <w:numId w:val="15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Pre-Clearance Procedures</w:t>
      </w:r>
    </w:p>
    <w:p>
      <w:pPr>
        <w:spacing w:after="0" w:line="222"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No Insider may trade in our securities (including any purchases, sales, gifts, donations or charitable contributions), even during an open trading window, unless the trade has been approved by the Compliance Officer under the procedures described below. In reviewing trading requests, the Compliance Officer may consult with our other officers and/or outside legal counsel and will receive approval for his own trades from the Chief Operating Officer.</w:t>
      </w:r>
    </w:p>
    <w:p>
      <w:pPr>
        <w:spacing w:after="0" w:line="168" w:lineRule="exact"/>
        <w:rPr>
          <w:sz w:val="20"/>
          <w:szCs w:val="20"/>
          <w:color w:val="auto"/>
        </w:rPr>
      </w:pPr>
    </w:p>
    <w:p>
      <w:pPr>
        <w:ind w:left="980" w:hanging="306"/>
        <w:spacing w:after="0"/>
        <w:tabs>
          <w:tab w:leader="none" w:pos="9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Procedures. No Insider may trade in our securities unless and until:</w:t>
      </w:r>
    </w:p>
    <w:p>
      <w:pPr>
        <w:spacing w:after="0" w:line="222" w:lineRule="exact"/>
        <w:rPr>
          <w:sz w:val="20"/>
          <w:szCs w:val="20"/>
          <w:color w:val="auto"/>
        </w:rPr>
      </w:pPr>
    </w:p>
    <w:p>
      <w:pPr>
        <w:jc w:val="both"/>
        <w:ind w:left="980" w:right="79" w:hanging="306"/>
        <w:spacing w:after="0" w:line="267" w:lineRule="auto"/>
        <w:tabs>
          <w:tab w:leader="none" w:pos="9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383"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Insider has certified to the Compliance Officer in writing prior to the proposed trade(s) that the Insider is not in possession of material nonpublic information concerning the Company;</w:t>
      </w:r>
    </w:p>
    <w:p>
      <w:pPr>
        <w:spacing w:after="0" w:line="146" w:lineRule="exact"/>
        <w:rPr>
          <w:rFonts w:ascii="Times New Roman" w:cs="Times New Roman" w:eastAsia="Times New Roman" w:hAnsi="Times New Roman"/>
          <w:sz w:val="17"/>
          <w:szCs w:val="17"/>
          <w:color w:val="auto"/>
        </w:rPr>
      </w:pPr>
    </w:p>
    <w:p>
      <w:pPr>
        <w:jc w:val="both"/>
        <w:ind w:left="980" w:right="79" w:hanging="306"/>
        <w:spacing w:after="0" w:line="264" w:lineRule="auto"/>
        <w:tabs>
          <w:tab w:leader="none" w:pos="9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Insider is an executive officer or director, 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71"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trade(s) and has certified such approval in writing (which may be by email).</w:t>
      </w:r>
    </w:p>
    <w:p>
      <w:pPr>
        <w:spacing w:after="0" w:line="146" w:lineRule="exact"/>
        <w:rPr>
          <w:sz w:val="20"/>
          <w:szCs w:val="20"/>
          <w:color w:val="auto"/>
        </w:rPr>
      </w:pPr>
    </w:p>
    <w:p>
      <w:pPr>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The Compliance Officer does not assume the responsibility for, and approval from the Compliance Officer does not protect the Insider from, the consequences of prohibited insider trading.</w:t>
      </w:r>
    </w:p>
    <w:p>
      <w:pPr>
        <w:spacing w:after="0" w:line="146" w:lineRule="exact"/>
        <w:rPr>
          <w:sz w:val="20"/>
          <w:szCs w:val="20"/>
          <w:color w:val="auto"/>
        </w:rPr>
      </w:pPr>
    </w:p>
    <w:p>
      <w:pPr>
        <w:ind w:left="980" w:hanging="306"/>
        <w:spacing w:after="0"/>
        <w:tabs>
          <w:tab w:leader="none" w:pos="98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Information.</w:t>
      </w:r>
    </w:p>
    <w:p>
      <w:pPr>
        <w:spacing w:after="0" w:line="222"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Insiders shall provide to the Compliance Officer any documentation reasonably requested by the officer in furtherance of the foregoing procedures. Any failure to provide such requested information will be grounds for denial of approval by the Compliance Officer.</w:t>
      </w:r>
    </w:p>
    <w:p>
      <w:pPr>
        <w:spacing w:after="0" w:line="163" w:lineRule="exact"/>
        <w:rPr>
          <w:sz w:val="20"/>
          <w:szCs w:val="20"/>
          <w:color w:val="auto"/>
        </w:rPr>
      </w:pPr>
    </w:p>
    <w:p>
      <w:pPr>
        <w:ind w:left="980" w:hanging="306"/>
        <w:spacing w:after="0"/>
        <w:tabs>
          <w:tab w:leader="none" w:pos="9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Notification of Brokers of Insider Status</w:t>
      </w:r>
    </w:p>
    <w:p>
      <w:pPr>
        <w:spacing w:after="0" w:line="222" w:lineRule="exact"/>
        <w:rPr>
          <w:sz w:val="20"/>
          <w:szCs w:val="20"/>
          <w:color w:val="auto"/>
        </w:rPr>
      </w:pPr>
    </w:p>
    <w:p>
      <w:pPr>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Insiders who are required to file reports under Section 16 of the Exchange Act shall inform all broker-dealers that may trade in our shares on the Insider’s or an Affiliated Person’s behalf of their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568325</wp:posOffset>
            </wp:positionV>
            <wp:extent cx="5661660"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2" w:name="page193"/>
    <w:bookmarkEnd w:id="192"/>
    <w:p>
      <w:pPr>
        <w:jc w:val="both"/>
        <w:ind w:left="40" w:right="59"/>
        <w:spacing w:after="0" w:line="275" w:lineRule="auto"/>
        <w:rPr>
          <w:sz w:val="20"/>
          <w:szCs w:val="20"/>
          <w:color w:val="auto"/>
        </w:rPr>
      </w:pPr>
      <w:r>
        <w:rPr>
          <w:rFonts w:ascii="Times New Roman" w:cs="Times New Roman" w:eastAsia="Times New Roman" w:hAnsi="Times New Roman"/>
          <w:sz w:val="17"/>
          <w:szCs w:val="17"/>
          <w:color w:val="auto"/>
        </w:rPr>
        <w:t>as a Section 16 officer and affiliate of the Company, the requirement that the broker confirm that any trade by the Insider has been approved by the Company pursuant to these pre-clearance procedures before making any trade, and arrange for the broker to provide transaction information to the Insider and/or Compliance Officer on the day of any executed transaction.</w:t>
      </w:r>
    </w:p>
    <w:p>
      <w:pPr>
        <w:spacing w:after="0" w:line="163" w:lineRule="exact"/>
        <w:rPr>
          <w:sz w:val="20"/>
          <w:szCs w:val="20"/>
          <w:color w:val="auto"/>
        </w:rPr>
      </w:pPr>
    </w:p>
    <w:p>
      <w:pPr>
        <w:ind w:left="980" w:hanging="306"/>
        <w:spacing w:after="0"/>
        <w:tabs>
          <w:tab w:leader="none" w:pos="9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Obligation to Approve Trades.</w:t>
      </w:r>
    </w:p>
    <w:p>
      <w:pPr>
        <w:spacing w:after="0" w:line="222" w:lineRule="exact"/>
        <w:rPr>
          <w:sz w:val="20"/>
          <w:szCs w:val="20"/>
          <w:color w:val="auto"/>
        </w:rPr>
      </w:pPr>
    </w:p>
    <w:p>
      <w:pPr>
        <w:jc w:val="both"/>
        <w:ind w:left="40" w:right="59" w:firstLine="627"/>
        <w:spacing w:after="0" w:line="295" w:lineRule="auto"/>
        <w:rPr>
          <w:sz w:val="20"/>
          <w:szCs w:val="20"/>
          <w:color w:val="auto"/>
        </w:rPr>
      </w:pPr>
      <w:r>
        <w:rPr>
          <w:rFonts w:ascii="Times New Roman" w:cs="Times New Roman" w:eastAsia="Times New Roman" w:hAnsi="Times New Roman"/>
          <w:sz w:val="17"/>
          <w:szCs w:val="17"/>
          <w:color w:val="auto"/>
        </w:rPr>
        <w:t>The existence of the foregoing approval procedures does not in any way obligate the Compliance Officer to approve any trade requested by an Insider. The Compliance Officer may reject any trading request at their sole discretion.</w:t>
      </w:r>
    </w:p>
    <w:p>
      <w:pPr>
        <w:spacing w:after="0" w:line="133" w:lineRule="exact"/>
        <w:rPr>
          <w:sz w:val="20"/>
          <w:szCs w:val="20"/>
          <w:color w:val="auto"/>
        </w:rPr>
      </w:pPr>
    </w:p>
    <w:p>
      <w:pPr>
        <w:jc w:val="both"/>
        <w:ind w:left="40" w:right="59" w:firstLine="627"/>
        <w:spacing w:after="0" w:line="260" w:lineRule="auto"/>
        <w:rPr>
          <w:sz w:val="20"/>
          <w:szCs w:val="20"/>
          <w:color w:val="auto"/>
        </w:rPr>
      </w:pPr>
      <w:r>
        <w:rPr>
          <w:rFonts w:ascii="Times New Roman" w:cs="Times New Roman" w:eastAsia="Times New Roman" w:hAnsi="Times New Roman"/>
          <w:sz w:val="17"/>
          <w:szCs w:val="17"/>
          <w:color w:val="auto"/>
        </w:rPr>
        <w:t>From time to time, an event may occur that is material to the Company and is known by only by a limited number of directors and employees. Insiders may not trade in our securities if they are notified by the Compliance Officer that a proposed trade has not been cleared because of the existence of a material nonpublic development –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our securities during the pendency of such an event, the Compliance Officer may reject the trading request without disclosing the reason.</w:t>
      </w:r>
    </w:p>
    <w:p>
      <w:pPr>
        <w:spacing w:after="0" w:line="167" w:lineRule="exact"/>
        <w:rPr>
          <w:sz w:val="20"/>
          <w:szCs w:val="20"/>
          <w:color w:val="auto"/>
        </w:rPr>
      </w:pPr>
    </w:p>
    <w:p>
      <w:pPr>
        <w:ind w:left="980" w:hanging="306"/>
        <w:spacing w:after="0"/>
        <w:tabs>
          <w:tab w:leader="none" w:pos="9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Trades.</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After receiving written clearance to engage in a trade signed by the Compliance Officer, an Insider must complete the proposed trade within three (3) business days or make a new trading request. Notwithstanding that an Insider has received such clearance, the Insider shall not engage in a trade if (i) such clearance has been rescinded by the Compliance Officer, (ii) the Insider has otherwise received notice that the trading window has been closed or (iii) the Insider believes that they may have material nonpublic information.</w:t>
      </w:r>
    </w:p>
    <w:p>
      <w:pPr>
        <w:spacing w:after="0" w:line="170" w:lineRule="exact"/>
        <w:rPr>
          <w:sz w:val="20"/>
          <w:szCs w:val="20"/>
          <w:color w:val="auto"/>
        </w:rPr>
      </w:pPr>
    </w:p>
    <w:p>
      <w:pPr>
        <w:ind w:left="980" w:hanging="306"/>
        <w:spacing w:after="0"/>
        <w:tabs>
          <w:tab w:leader="none" w:pos="98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Post-Trade Reporting.</w:t>
      </w:r>
    </w:p>
    <w:p>
      <w:pPr>
        <w:spacing w:after="0" w:line="222" w:lineRule="exact"/>
        <w:rPr>
          <w:sz w:val="20"/>
          <w:szCs w:val="20"/>
          <w:color w:val="auto"/>
        </w:rPr>
      </w:pPr>
    </w:p>
    <w:p>
      <w:pPr>
        <w:jc w:val="both"/>
        <w:ind w:left="40" w:right="59" w:firstLine="627"/>
        <w:spacing w:after="0" w:line="260" w:lineRule="auto"/>
        <w:rPr>
          <w:sz w:val="20"/>
          <w:szCs w:val="20"/>
          <w:color w:val="auto"/>
        </w:rPr>
      </w:pPr>
      <w:r>
        <w:rPr>
          <w:rFonts w:ascii="Times New Roman" w:cs="Times New Roman" w:eastAsia="Times New Roman" w:hAnsi="Times New Roman"/>
          <w:sz w:val="17"/>
          <w:szCs w:val="17"/>
          <w:color w:val="auto"/>
        </w:rPr>
        <w:t>The details of any transactions in our securities (including transactions effected pursuant to a Rule 10b5-1 Plan or any other purchases, sales, gifts, donations or charitable contributions) by an Insider (or one of their Affiliated Persons) who is required to file reports under Section 16 of the Exchange Act must be reported to the Compliance Officer by the Insider or their brokerage firm on the same day on which a trade order is placed or such a transaction otherwise is entered into. Such report shall include the date of the transaction, quantity of shares, the price and the name of any broker-dealer through which the transaction was effected. This reporting requirement may be satisfied by providing (or having such Insider’s broker provide) a trade order confirmation to the Compliance Officer if such information is received by the Compliance Officer by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shareholders, as well as possible civil or criminal sanctions for chronic or egregious violators.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712470</wp:posOffset>
            </wp:positionV>
            <wp:extent cx="566166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3" w:name="page194"/>
    <w:bookmarkEnd w:id="193"/>
    <w:p>
      <w:pPr>
        <w:ind w:left="360" w:hanging="312"/>
        <w:spacing w:after="0"/>
        <w:tabs>
          <w:tab w:leader="none" w:pos="360" w:val="left"/>
        </w:tabs>
        <w:numPr>
          <w:ilvl w:val="0"/>
          <w:numId w:val="16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Exemptions</w:t>
      </w:r>
    </w:p>
    <w:p>
      <w:pPr>
        <w:spacing w:after="0" w:line="222" w:lineRule="exact"/>
        <w:rPr>
          <w:rFonts w:ascii="Times New Roman" w:cs="Times New Roman" w:eastAsia="Times New Roman" w:hAnsi="Times New Roman"/>
          <w:sz w:val="17"/>
          <w:szCs w:val="17"/>
          <w:i w:val="1"/>
          <w:iCs w:val="1"/>
          <w:color w:val="auto"/>
        </w:rPr>
      </w:pPr>
    </w:p>
    <w:p>
      <w:pPr>
        <w:ind w:left="980" w:hanging="306"/>
        <w:spacing w:after="0"/>
        <w:tabs>
          <w:tab w:leader="none" w:pos="9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Pre-Approved Rule 10b5-1 Plan.</w:t>
      </w:r>
    </w:p>
    <w:p>
      <w:pPr>
        <w:spacing w:after="0" w:line="222"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Transactions made pursuant to an approved Rule 10b5-1 Plan (as defined below) will not be subject to our trading windows, retirement plan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trade in Company securities outside of our trading windows, even when in possession of material nonpublic information.</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If an Insider intends to trade pursuant to a Rule 10b5-1 Plan, such plan, arrangement or instruction must:</w:t>
      </w:r>
    </w:p>
    <w:p>
      <w:pPr>
        <w:spacing w:after="0" w:line="222" w:lineRule="exact"/>
        <w:rPr>
          <w:sz w:val="20"/>
          <w:szCs w:val="20"/>
          <w:color w:val="auto"/>
        </w:rPr>
      </w:pPr>
    </w:p>
    <w:p>
      <w:pPr>
        <w:ind w:left="980" w:hanging="306"/>
        <w:spacing w:after="0"/>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satisfy the requirements of Rule 10b5-1 in effect at such time;</w:t>
      </w:r>
    </w:p>
    <w:p>
      <w:pPr>
        <w:spacing w:after="0" w:line="22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documented in writing;</w:t>
      </w:r>
    </w:p>
    <w:p>
      <w:pPr>
        <w:spacing w:after="0" w:line="222"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established during a trading window;</w:t>
      </w:r>
    </w:p>
    <w:p>
      <w:pPr>
        <w:spacing w:after="0" w:line="222" w:lineRule="exact"/>
        <w:rPr>
          <w:rFonts w:ascii="Times New Roman" w:cs="Times New Roman" w:eastAsia="Times New Roman" w:hAnsi="Times New Roman"/>
          <w:sz w:val="17"/>
          <w:szCs w:val="17"/>
          <w:color w:val="auto"/>
        </w:rPr>
      </w:pPr>
    </w:p>
    <w:p>
      <w:pPr>
        <w:jc w:val="both"/>
        <w:ind w:left="980" w:right="79" w:hanging="306"/>
        <w:spacing w:after="0" w:line="275" w:lineRule="auto"/>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entered into in good faith by the Insider, not as part of a plan or scheme to evade the prohibitions of Rule 10b5-1, at a time when such Insider does not possess material nonpublic information, and, if the Insider is a director or executive officer, such plan must include representations by the Insider certifying the foregoing;</w:t>
      </w:r>
    </w:p>
    <w:p>
      <w:pPr>
        <w:spacing w:after="0" w:line="163" w:lineRule="exact"/>
        <w:rPr>
          <w:rFonts w:ascii="Times New Roman" w:cs="Times New Roman" w:eastAsia="Times New Roman" w:hAnsi="Times New Roman"/>
          <w:sz w:val="17"/>
          <w:szCs w:val="17"/>
          <w:color w:val="auto"/>
        </w:rPr>
      </w:pPr>
    </w:p>
    <w:p>
      <w:pPr>
        <w:jc w:val="both"/>
        <w:ind w:left="980" w:right="79" w:hanging="306"/>
        <w:spacing w:after="0" w:line="264" w:lineRule="auto"/>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(a) specify the amount of securities to be sold, the price at which and the date on which the securities are to be sold, (b) include a written formula or algorithm, or computer program, for determining the amount of securities to be sold and the price at which and the date on which the securities are to be sold, or (c) not permit the Insider to exercise any subsequent influence over how, when, or whether to effect transactions; provided, in addition, that any other person who, pursuant to such plan, arrangement or instruction, exercises such influence must not have been aware of material nonpublic information when doing so;</w:t>
      </w:r>
    </w:p>
    <w:p>
      <w:pPr>
        <w:spacing w:after="0" w:line="171" w:lineRule="exact"/>
        <w:rPr>
          <w:rFonts w:ascii="Times New Roman" w:cs="Times New Roman" w:eastAsia="Times New Roman" w:hAnsi="Times New Roman"/>
          <w:sz w:val="17"/>
          <w:szCs w:val="17"/>
          <w:color w:val="auto"/>
        </w:rPr>
      </w:pPr>
    </w:p>
    <w:p>
      <w:pPr>
        <w:jc w:val="both"/>
        <w:ind w:left="980" w:right="79" w:hanging="306"/>
        <w:spacing w:after="0" w:line="287" w:lineRule="auto"/>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no transactions may occur thereunder until the expiration of the applicable cooling-off period specified in Rule 10b5-1(c)(ii)(B) (the “</w:t>
      </w:r>
      <w:r>
        <w:rPr>
          <w:rFonts w:ascii="Times New Roman" w:cs="Times New Roman" w:eastAsia="Times New Roman" w:hAnsi="Times New Roman"/>
          <w:sz w:val="17"/>
          <w:szCs w:val="17"/>
          <w:u w:val="single" w:color="auto"/>
          <w:color w:val="auto"/>
        </w:rPr>
        <w:t>Cooling-Off Period</w:t>
      </w:r>
      <w:r>
        <w:rPr>
          <w:rFonts w:ascii="Times New Roman" w:cs="Times New Roman" w:eastAsia="Times New Roman" w:hAnsi="Times New Roman"/>
          <w:sz w:val="17"/>
          <w:szCs w:val="17"/>
          <w:color w:val="auto"/>
        </w:rPr>
        <w:t>”) (and no transactions thereunder occur until after that time);</w:t>
      </w:r>
    </w:p>
    <w:p>
      <w:pPr>
        <w:spacing w:after="0" w:line="367" w:lineRule="exact"/>
        <w:rPr>
          <w:rFonts w:ascii="Times New Roman" w:cs="Times New Roman" w:eastAsia="Times New Roman" w:hAnsi="Times New Roman"/>
          <w:sz w:val="17"/>
          <w:szCs w:val="17"/>
          <w:color w:val="auto"/>
        </w:rPr>
      </w:pPr>
    </w:p>
    <w:p>
      <w:pPr>
        <w:ind w:left="980" w:right="79" w:hanging="306"/>
        <w:spacing w:after="0" w:line="295" w:lineRule="auto"/>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the only outstanding plan, arrangement or instruction entered into by the Insider (subject to the limited exceptions in Rule 10b5-1(c)(ii)(D)); and</w:t>
      </w:r>
    </w:p>
    <w:p>
      <w:pPr>
        <w:spacing w:after="0" w:line="146" w:lineRule="exact"/>
        <w:rPr>
          <w:rFonts w:ascii="Times New Roman" w:cs="Times New Roman" w:eastAsia="Times New Roman" w:hAnsi="Times New Roman"/>
          <w:sz w:val="17"/>
          <w:szCs w:val="17"/>
          <w:color w:val="auto"/>
        </w:rPr>
      </w:pPr>
    </w:p>
    <w:p>
      <w:pPr>
        <w:ind w:left="980" w:hanging="306"/>
        <w:spacing w:after="0"/>
        <w:tabs>
          <w:tab w:leader="none" w:pos="98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pre-approved by the Compliance Officer in accordance with the procedures set forth in Section B above.</w:t>
      </w:r>
    </w:p>
    <w:p>
      <w:pPr>
        <w:spacing w:after="0" w:line="222" w:lineRule="exact"/>
        <w:rPr>
          <w:sz w:val="20"/>
          <w:szCs w:val="20"/>
          <w:color w:val="auto"/>
        </w:rPr>
      </w:pPr>
    </w:p>
    <w:p>
      <w:pPr>
        <w:jc w:val="both"/>
        <w:ind w:left="40" w:right="59" w:firstLine="627"/>
        <w:spacing w:after="0" w:line="265" w:lineRule="auto"/>
        <w:rPr>
          <w:sz w:val="20"/>
          <w:szCs w:val="20"/>
          <w:color w:val="auto"/>
        </w:rPr>
      </w:pPr>
      <w:r>
        <w:rPr>
          <w:rFonts w:ascii="Times New Roman" w:cs="Times New Roman" w:eastAsia="Times New Roman" w:hAnsi="Times New Roman"/>
          <w:sz w:val="17"/>
          <w:szCs w:val="17"/>
          <w:color w:val="auto"/>
        </w:rPr>
        <w:t>The appropriate Cooling-Off Period varies based on the status of the Insider. For directors and executive officers, the cooling-off period ends on the later of (x) 90 days after adoption or modification of the plan or (y) two business days following disclosure of the Company’s financial results in a Form 10-K or Form 10-Q for the completed fiscal quarter in which the plan was adopted (not to exceed 120 days). For all other Insiders, the Cooling-Off Period ends 30 days after adoption or modification of the plan. The Cooling-Off Period will apply to the entry into a new plan and any revision or modification of a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718820</wp:posOffset>
            </wp:positionV>
            <wp:extent cx="5661660" cy="247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4" w:name="page195"/>
    <w:bookmarkEnd w:id="194"/>
    <w:p>
      <w:pPr>
        <w:jc w:val="both"/>
        <w:ind w:left="40" w:right="59"/>
        <w:spacing w:after="0" w:line="295" w:lineRule="auto"/>
        <w:rPr>
          <w:sz w:val="20"/>
          <w:szCs w:val="20"/>
          <w:color w:val="auto"/>
        </w:rPr>
      </w:pPr>
      <w:r>
        <w:rPr>
          <w:rFonts w:ascii="Times New Roman" w:cs="Times New Roman" w:eastAsia="Times New Roman" w:hAnsi="Times New Roman"/>
          <w:sz w:val="17"/>
          <w:szCs w:val="17"/>
          <w:color w:val="auto"/>
        </w:rPr>
        <w:t>including changes to the pricing, amount of securities, or timing of transactions, but not for purely ministerial changes such as changes in account information or adjustment for stock splits.</w:t>
      </w:r>
    </w:p>
    <w:p>
      <w:pPr>
        <w:spacing w:after="0" w:line="146"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Prior to approving any 10b5-1 Plan, the Compliance Officer may require that the plan exclude or include certain additional provisions (e.g., longer cooling off periods, minimum number of trades requirement, specified term) to ensure compliance with SEC regulations, best practices or otherwise as the Compliance Officer deems to be in the best interests of the Company. Alternatively, the Compliance Officer may refuse to approve a 10b5-1 Plan that does not meet applicable legal requirements or satisfy best practices.</w:t>
      </w:r>
    </w:p>
    <w:p>
      <w:pPr>
        <w:spacing w:after="0" w:line="170"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Any proposed deviation from the specifications of an approved Rule 10b5-1 Plan (including, without limitation, the amount, price or timing of a purchase or sale) must be reported immediately to, and be approved by, the Compliance Officer. Any transaction pursuant to a Rule 10b5-1 Plan must be timely reported following the transaction in accordance with the procedures set forth above. The Compliance Officer may refuse to approve a Rule 10b5-1 Plan as they deem appropriate including, without limitation, if they determine that such plan does not satisfy the requirements of Rule 10b5-1.</w:t>
      </w:r>
    </w:p>
    <w:p>
      <w:pPr>
        <w:spacing w:after="0" w:line="170"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Adopted and executed Rule 10b5-1 Plans must be provided to the Compliance Officer within one trading day after the execution of the plan. In addition, Insiders must also notify the Compliance Officer of the completion of any transactions under the plan as set forth under Section B.6. above. Sales pursuant to Rule 10b5-1 Plans must be reported on Form 4, and the specific checkbox on the form must be selected to indicate that the transaction was pursuant to a plan.</w:t>
      </w:r>
    </w:p>
    <w:p>
      <w:pPr>
        <w:spacing w:after="0" w:line="168" w:lineRule="exact"/>
        <w:rPr>
          <w:sz w:val="20"/>
          <w:szCs w:val="20"/>
          <w:color w:val="auto"/>
        </w:rPr>
      </w:pPr>
    </w:p>
    <w:p>
      <w:pPr>
        <w:jc w:val="both"/>
        <w:ind w:left="40" w:right="59" w:firstLine="627"/>
        <w:spacing w:after="0" w:line="262" w:lineRule="auto"/>
        <w:rPr>
          <w:sz w:val="20"/>
          <w:szCs w:val="20"/>
          <w:color w:val="auto"/>
        </w:rPr>
      </w:pPr>
      <w:r>
        <w:rPr>
          <w:rFonts w:ascii="Times New Roman" w:cs="Times New Roman" w:eastAsia="Times New Roman" w:hAnsi="Times New Roman"/>
          <w:sz w:val="17"/>
          <w:szCs w:val="17"/>
          <w:color w:val="auto"/>
        </w:rPr>
        <w:t>Any modification or termination of an Insider’s existing Rule 10b5-1 Plan requires pre-approval by the Compliance Officer. The Compliance Officer shall require as a condition to such approval that the modification or termination occur during a trading window and be entered into in good faith, not as part of a plan or scheme to evade the prohibitions of Rule 10b5-1, while such Insider is not aware of material nonpublic information. In addition to the foregoing, any modifications of a Rule 10b5-1 Plan (including any changes to the pricing, amount of securities, or timing of transactions, but not for purely ministerial changes such as changes in account information or adjustment for stock splits) will be subject to the applicable Cooling-Off Period prior to any transaction occurring under the Rule 10b5-1 Plan as modified.</w:t>
      </w:r>
    </w:p>
    <w:p>
      <w:pPr>
        <w:spacing w:after="0" w:line="177" w:lineRule="exact"/>
        <w:rPr>
          <w:sz w:val="20"/>
          <w:szCs w:val="20"/>
          <w:color w:val="auto"/>
        </w:rPr>
      </w:pPr>
    </w:p>
    <w:p>
      <w:pPr>
        <w:ind w:left="980" w:hanging="306"/>
        <w:spacing w:after="0"/>
        <w:tabs>
          <w:tab w:leader="none" w:pos="98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Equity and Retirement Plans.</w:t>
      </w:r>
    </w:p>
    <w:p>
      <w:pPr>
        <w:spacing w:after="0" w:line="220" w:lineRule="exact"/>
        <w:rPr>
          <w:sz w:val="20"/>
          <w:szCs w:val="20"/>
          <w:color w:val="auto"/>
        </w:rPr>
      </w:pPr>
    </w:p>
    <w:p>
      <w:pPr>
        <w:jc w:val="both"/>
        <w:ind w:left="40" w:right="59" w:firstLine="627"/>
        <w:spacing w:after="0" w:line="261" w:lineRule="auto"/>
        <w:rPr>
          <w:sz w:val="20"/>
          <w:szCs w:val="20"/>
          <w:color w:val="auto"/>
        </w:rPr>
      </w:pPr>
      <w:r>
        <w:rPr>
          <w:rFonts w:ascii="Times New Roman" w:cs="Times New Roman" w:eastAsia="Times New Roman" w:hAnsi="Times New Roman"/>
          <w:sz w:val="17"/>
          <w:szCs w:val="17"/>
          <w:i w:val="1"/>
          <w:iCs w:val="1"/>
          <w:color w:val="auto"/>
        </w:rPr>
        <w:t>Exercise of Stock Options</w:t>
      </w:r>
      <w:r>
        <w:rPr>
          <w:rFonts w:ascii="Times New Roman" w:cs="Times New Roman" w:eastAsia="Times New Roman" w:hAnsi="Times New Roman"/>
          <w:sz w:val="17"/>
          <w:szCs w:val="17"/>
          <w:color w:val="auto"/>
        </w:rPr>
        <w:t>. The trading prohibitions and restrictions set forth in the Trading Procedures do not apply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B.6.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384" w:lineRule="exact"/>
        <w:rPr>
          <w:sz w:val="20"/>
          <w:szCs w:val="20"/>
          <w:color w:val="auto"/>
        </w:rPr>
      </w:pPr>
    </w:p>
    <w:p>
      <w:pPr>
        <w:jc w:val="both"/>
        <w:ind w:left="40" w:right="59" w:firstLine="627"/>
        <w:spacing w:after="0" w:line="270" w:lineRule="auto"/>
        <w:rPr>
          <w:sz w:val="20"/>
          <w:szCs w:val="20"/>
          <w:color w:val="auto"/>
        </w:rPr>
      </w:pPr>
      <w:r>
        <w:rPr>
          <w:rFonts w:ascii="Times New Roman" w:cs="Times New Roman" w:eastAsia="Times New Roman" w:hAnsi="Times New Roman"/>
          <w:sz w:val="17"/>
          <w:szCs w:val="17"/>
          <w:i w:val="1"/>
          <w:iCs w:val="1"/>
          <w:color w:val="auto"/>
        </w:rPr>
        <w:t>Tax Withholding on Restricted Stock/Units</w:t>
      </w:r>
      <w:r>
        <w:rPr>
          <w:rFonts w:ascii="Times New Roman" w:cs="Times New Roman" w:eastAsia="Times New Roman" w:hAnsi="Times New Roman"/>
          <w:sz w:val="17"/>
          <w:szCs w:val="17"/>
          <w:color w:val="auto"/>
        </w:rPr>
        <w:t>. The trading prohibitions and restrictions set forth in the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581660</wp:posOffset>
            </wp:positionV>
            <wp:extent cx="5661660" cy="247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5" w:name="page196"/>
    <w:bookmarkEnd w:id="195"/>
    <w:p>
      <w:pPr>
        <w:ind w:left="40"/>
        <w:spacing w:after="0"/>
        <w:rPr>
          <w:sz w:val="20"/>
          <w:szCs w:val="20"/>
          <w:color w:val="auto"/>
        </w:rPr>
      </w:pPr>
      <w:r>
        <w:rPr>
          <w:rFonts w:ascii="Times New Roman" w:cs="Times New Roman" w:eastAsia="Times New Roman" w:hAnsi="Times New Roman"/>
          <w:sz w:val="17"/>
          <w:szCs w:val="17"/>
          <w:color w:val="auto"/>
        </w:rPr>
        <w:t>election to exercise such tax withholding right was made by the Insider in compliance with the Trading Procedures.</w:t>
      </w:r>
    </w:p>
    <w:p>
      <w:pPr>
        <w:spacing w:after="0" w:line="220"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i w:val="1"/>
          <w:iCs w:val="1"/>
          <w:color w:val="auto"/>
        </w:rPr>
        <w:t>Automatic Employee Plan Elections</w:t>
      </w:r>
      <w:r>
        <w:rPr>
          <w:rFonts w:ascii="Times New Roman" w:cs="Times New Roman" w:eastAsia="Times New Roman" w:hAnsi="Times New Roman"/>
          <w:sz w:val="17"/>
          <w:szCs w:val="17"/>
          <w:color w:val="auto"/>
        </w:rPr>
        <w:t>. The trading prohibitions and restrictions set forth in the Trading Procedures do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apply to other purchases of Company securities pursuant to automatic payroll deductions made in accordance with a contribution election under another employee benefit plan or to automatic reinvestment of dividends pursuant to an election under another employee benefit plan (provided in either case that the election is made at a time that the insider is permitted to trade and not in possession of material nonpublic information), or from Company matching contributions made under any of its employee benefit plans.</w:t>
      </w:r>
    </w:p>
    <w:p>
      <w:pPr>
        <w:spacing w:after="0" w:line="174"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color w:val="auto"/>
        </w:rPr>
        <w:t>The trading prohibitions and restrictions set forth in the Trading Procedures do apply, however, to certain elections you may make under an employee benefit plan, including: (a) an election to increase or decrease the percentage of your periodic contributions that will be allocated to purchase Company securities; (b) an election to make an intra-plan transfer of an existing account balance into or out of Company securities; (c) an election to borrow money against your plan account if the loan will result in a liquidation of some or all of the Company securities in your plan account; and (d) an election to pre-pay a plan loan if the pre-payment will result in allocation of loan proceeds to purchase Company securities.</w:t>
      </w:r>
    </w:p>
    <w:p>
      <w:pPr>
        <w:spacing w:after="0" w:line="170" w:lineRule="exact"/>
        <w:rPr>
          <w:sz w:val="20"/>
          <w:szCs w:val="20"/>
          <w:color w:val="auto"/>
        </w:rPr>
      </w:pPr>
    </w:p>
    <w:p>
      <w:pPr>
        <w:jc w:val="both"/>
        <w:ind w:left="40" w:right="59" w:firstLine="627"/>
        <w:spacing w:after="0" w:line="264" w:lineRule="auto"/>
        <w:rPr>
          <w:sz w:val="20"/>
          <w:szCs w:val="20"/>
          <w:color w:val="auto"/>
        </w:rPr>
      </w:pPr>
      <w:r>
        <w:rPr>
          <w:rFonts w:ascii="Times New Roman" w:cs="Times New Roman" w:eastAsia="Times New Roman" w:hAnsi="Times New Roman"/>
          <w:sz w:val="17"/>
          <w:szCs w:val="17"/>
          <w:i w:val="1"/>
          <w:iCs w:val="1"/>
          <w:color w:val="auto"/>
        </w:rPr>
        <w:t>Employee Stock Purchase Plan</w:t>
      </w:r>
      <w:r>
        <w:rPr>
          <w:rFonts w:ascii="Times New Roman" w:cs="Times New Roman" w:eastAsia="Times New Roman" w:hAnsi="Times New Roman"/>
          <w:sz w:val="17"/>
          <w:szCs w:val="17"/>
          <w:color w:val="auto"/>
        </w:rPr>
        <w:t>. The trading prohibitions and restrictions set forth in the Trading Procedures do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apply to (a) acquisitions of Company securities resulting from your periodic contribution of money to the Company’s employee stock purchase plan, if one is established, pursuant to the election you made at the time of your enrollment in the plan, or (b) purchases of Company securities resulting from lump sum contributions to the plan, provided that you elected to participate by lump sum payment at the beginning of the applicable enrollment period. However, the restrictions do apply to your election to participate in the plan for any enrollment period, and to any subsequent sales of any such securities acquired therefrom.</w:t>
      </w:r>
    </w:p>
    <w:p>
      <w:pPr>
        <w:spacing w:after="0" w:line="172" w:lineRule="exact"/>
        <w:rPr>
          <w:sz w:val="20"/>
          <w:szCs w:val="20"/>
          <w:color w:val="auto"/>
        </w:rPr>
      </w:pPr>
    </w:p>
    <w:p>
      <w:pPr>
        <w:jc w:val="both"/>
        <w:ind w:left="40" w:right="79" w:firstLine="627"/>
        <w:spacing w:after="0" w:line="277" w:lineRule="auto"/>
        <w:rPr>
          <w:sz w:val="20"/>
          <w:szCs w:val="20"/>
          <w:color w:val="auto"/>
        </w:rPr>
      </w:pPr>
      <w:r>
        <w:rPr>
          <w:rFonts w:ascii="Times New Roman" w:cs="Times New Roman" w:eastAsia="Times New Roman" w:hAnsi="Times New Roman"/>
          <w:sz w:val="17"/>
          <w:szCs w:val="17"/>
          <w:i w:val="1"/>
          <w:iCs w:val="1"/>
          <w:color w:val="auto"/>
        </w:rPr>
        <w:t>Stock Splits, Stock Dividends and Similar Transactions</w:t>
      </w:r>
      <w:r>
        <w:rPr>
          <w:rFonts w:ascii="Times New Roman" w:cs="Times New Roman" w:eastAsia="Times New Roman" w:hAnsi="Times New Roman"/>
          <w:sz w:val="17"/>
          <w:szCs w:val="17"/>
          <w:color w:val="auto"/>
        </w:rPr>
        <w:t>. The trading prohibitions and restrictions set forth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Trading Procedures do not apply to a change in the number of securities held as a result of a stock split or stock dividend applying equally to all securities of a class, or similar transactions.</w:t>
      </w:r>
    </w:p>
    <w:p>
      <w:pPr>
        <w:spacing w:after="0" w:line="161" w:lineRule="exact"/>
        <w:rPr>
          <w:sz w:val="20"/>
          <w:szCs w:val="20"/>
          <w:color w:val="auto"/>
        </w:rPr>
      </w:pPr>
    </w:p>
    <w:p>
      <w:pPr>
        <w:ind w:left="360" w:hanging="312"/>
        <w:spacing w:after="0"/>
        <w:tabs>
          <w:tab w:leader="none" w:pos="360" w:val="left"/>
        </w:tabs>
        <w:numPr>
          <w:ilvl w:val="0"/>
          <w:numId w:val="16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Waivers</w:t>
      </w:r>
    </w:p>
    <w:p>
      <w:pPr>
        <w:spacing w:after="0" w:line="222" w:lineRule="exact"/>
        <w:rPr>
          <w:sz w:val="20"/>
          <w:szCs w:val="20"/>
          <w:color w:val="auto"/>
        </w:rPr>
      </w:pPr>
    </w:p>
    <w:p>
      <w:pPr>
        <w:jc w:val="both"/>
        <w:ind w:left="40" w:right="59" w:firstLine="627"/>
        <w:spacing w:after="0" w:line="275" w:lineRule="auto"/>
        <w:rPr>
          <w:sz w:val="20"/>
          <w:szCs w:val="20"/>
          <w:color w:val="auto"/>
        </w:rPr>
      </w:pPr>
      <w:r>
        <w:rPr>
          <w:rFonts w:ascii="Times New Roman" w:cs="Times New Roman" w:eastAsia="Times New Roman" w:hAnsi="Times New Roman"/>
          <w:sz w:val="17"/>
          <w:szCs w:val="17"/>
          <w:color w:val="auto"/>
        </w:rPr>
        <w:t>A waiver of any provision of this Insider Trading Policy, or the Trading Procedures contained herein, in a specific instance may be authorized in writing by the Audit Committee of the Board of Directors, and any such waiver shall be reported to the Board of Directors.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PART III. ACKNOWLEDGEMENT</w:t>
      </w:r>
    </w:p>
    <w:p>
      <w:pPr>
        <w:spacing w:after="0" w:line="222" w:lineRule="exact"/>
        <w:rPr>
          <w:sz w:val="20"/>
          <w:szCs w:val="20"/>
          <w:color w:val="auto"/>
        </w:rPr>
      </w:pPr>
    </w:p>
    <w:p>
      <w:pPr>
        <w:jc w:val="both"/>
        <w:ind w:left="40" w:right="59" w:firstLine="627"/>
        <w:spacing w:after="0" w:line="266" w:lineRule="auto"/>
        <w:rPr>
          <w:sz w:val="20"/>
          <w:szCs w:val="20"/>
          <w:color w:val="auto"/>
        </w:rPr>
      </w:pPr>
      <w:r>
        <w:rPr>
          <w:rFonts w:ascii="Times New Roman" w:cs="Times New Roman" w:eastAsia="Times New Roman" w:hAnsi="Times New Roman"/>
          <w:sz w:val="17"/>
          <w:szCs w:val="17"/>
          <w:color w:val="auto"/>
        </w:rPr>
        <w:t>We will deliver a copy of this Insider Trading Policy to all current employees and directors and to future employees and directors at the start of their employment or relationship with the Company. Upon first receiving a copy of this Insider Trading Policy, each individual must acknowledge that they have received a copy and agree to comply with the terms of this Insider Trading Policy, and, if applicable, the Trading Procedures contained herein. The acknowledgment attached hereto must be completed and submitted to the Company within ten (10) days of receipt.</w:t>
      </w:r>
    </w:p>
    <w:p>
      <w:pPr>
        <w:spacing w:after="0" w:line="170" w:lineRule="exact"/>
        <w:rPr>
          <w:sz w:val="20"/>
          <w:szCs w:val="20"/>
          <w:color w:val="auto"/>
        </w:rPr>
      </w:pPr>
    </w:p>
    <w:p>
      <w:pPr>
        <w:jc w:val="both"/>
        <w:ind w:left="40" w:right="59" w:firstLine="627"/>
        <w:spacing w:after="0" w:line="269" w:lineRule="auto"/>
        <w:rPr>
          <w:sz w:val="20"/>
          <w:szCs w:val="20"/>
          <w:color w:val="auto"/>
        </w:rPr>
      </w:pPr>
      <w:r>
        <w:rPr>
          <w:rFonts w:ascii="Times New Roman" w:cs="Times New Roman" w:eastAsia="Times New Roman" w:hAnsi="Times New Roman"/>
          <w:sz w:val="17"/>
          <w:szCs w:val="17"/>
          <w:color w:val="auto"/>
        </w:rPr>
        <w:t>Upon our request, directors and employees and consultants will be required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582295</wp:posOffset>
            </wp:positionV>
            <wp:extent cx="5661660"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6" w:name="page197"/>
    <w:bookmarkEnd w:id="196"/>
    <w:p>
      <w:pPr>
        <w:ind w:left="40"/>
        <w:spacing w:after="0"/>
        <w:rPr>
          <w:sz w:val="20"/>
          <w:szCs w:val="20"/>
          <w:color w:val="auto"/>
        </w:rPr>
      </w:pPr>
      <w:r>
        <w:rPr>
          <w:rFonts w:ascii="Times New Roman" w:cs="Times New Roman" w:eastAsia="Times New Roman" w:hAnsi="Times New Roman"/>
          <w:sz w:val="17"/>
          <w:szCs w:val="17"/>
          <w:color w:val="auto"/>
        </w:rPr>
        <w:t>electronic mail (or other delivery option used by the Company) to the Compliance Officer.</w:t>
      </w:r>
    </w:p>
    <w:p>
      <w:pPr>
        <w:spacing w:after="0" w:line="2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Questions regarding this Insider Trading Policy are encouraged and may be directed to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617220</wp:posOffset>
            </wp:positionV>
            <wp:extent cx="5661660" cy="247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STOCK TRANSACTION REQUEST</w:t>
      </w:r>
    </w:p>
    <w:p>
      <w:pPr>
        <w:spacing w:after="0" w:line="222" w:lineRule="exact"/>
        <w:rPr>
          <w:sz w:val="20"/>
          <w:szCs w:val="20"/>
          <w:color w:val="auto"/>
        </w:rPr>
      </w:pPr>
    </w:p>
    <w:p>
      <w:pPr>
        <w:ind w:left="60" w:right="59" w:hanging="8"/>
        <w:spacing w:after="0" w:line="295" w:lineRule="auto"/>
        <w:rPr>
          <w:sz w:val="20"/>
          <w:szCs w:val="20"/>
          <w:color w:val="auto"/>
        </w:rPr>
      </w:pPr>
      <w:r>
        <w:rPr>
          <w:rFonts w:ascii="Times New Roman" w:cs="Times New Roman" w:eastAsia="Times New Roman" w:hAnsi="Times New Roman"/>
          <w:sz w:val="17"/>
          <w:szCs w:val="17"/>
          <w:color w:val="auto"/>
        </w:rPr>
        <w:t>Pursuant to Terrestrial Energy Inc.’s Insider Trading Policy, I hereby notify Terrestrial Energy Inc. (the “Company”) of my intent to trade the securities of the Company as indicated below:</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REQUESTER INFORMATION</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Insider’s Name: 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227330</wp:posOffset>
            </wp:positionV>
            <wp:extent cx="56616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566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INTENT TO PURCHASE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Number of shares: __________________________</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Intended trade date: __________________________</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Means of acquiring shares:</w:t>
            </w:r>
          </w:p>
        </w:tc>
        <w:tc>
          <w:tcPr>
            <w:tcW w:w="9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Acquisition through employee benefit plan (please specify):</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19"/>
                <w:szCs w:val="19"/>
                <w:color w:val="auto"/>
              </w:rPr>
            </w:pPr>
          </w:p>
        </w:tc>
        <w:tc>
          <w:tcPr>
            <w:tcW w:w="92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5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Purchase through a broker on the open market</w:t>
            </w: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9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(please specify):</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0" w:type="dxa"/>
            <w:vAlign w:val="bottom"/>
          </w:tcPr>
          <w:p>
            <w:pPr>
              <w:spacing w:after="0"/>
              <w:rPr>
                <w:sz w:val="1"/>
                <w:szCs w:val="1"/>
                <w:color w:val="auto"/>
              </w:rPr>
            </w:pPr>
          </w:p>
        </w:tc>
      </w:tr>
      <w:tr>
        <w:trPr>
          <w:trHeight w:val="131"/>
        </w:trPr>
        <w:tc>
          <w:tcPr>
            <w:tcW w:w="2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INTENT TO SELL OR TRANSFER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Number of shares: __________________________</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Intended trade date: __________________________</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Means of selling shares:</w:t>
            </w:r>
          </w:p>
        </w:tc>
        <w:tc>
          <w:tcPr>
            <w:tcW w:w="7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Sale through employee benefit plan (please specify):</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70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Sale through a broker on the open market</w:t>
            </w:r>
          </w:p>
        </w:tc>
        <w:tc>
          <w:tcPr>
            <w:tcW w:w="0" w:type="dxa"/>
            <w:vAlign w:val="bottom"/>
          </w:tcPr>
          <w:p>
            <w:pPr>
              <w:spacing w:after="0"/>
              <w:rPr>
                <w:sz w:val="1"/>
                <w:szCs w:val="1"/>
                <w:color w:val="auto"/>
              </w:rPr>
            </w:pPr>
          </w:p>
        </w:tc>
      </w:tr>
      <w:tr>
        <w:trPr>
          <w:trHeight w:val="261"/>
        </w:trPr>
        <w:tc>
          <w:tcPr>
            <w:tcW w:w="2480" w:type="dxa"/>
            <w:vAlign w:val="bottom"/>
          </w:tcPr>
          <w:p>
            <w:pPr>
              <w:spacing w:after="0"/>
              <w:rPr>
                <w:sz w:val="22"/>
                <w:szCs w:val="22"/>
                <w:color w:val="auto"/>
              </w:rPr>
            </w:pPr>
          </w:p>
        </w:tc>
        <w:tc>
          <w:tcPr>
            <w:tcW w:w="7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Gift, Donation or Charitable Contribution</w:t>
            </w: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1"/>
                <w:szCs w:val="21"/>
                <w:color w:val="auto"/>
              </w:rPr>
            </w:pPr>
          </w:p>
        </w:tc>
        <w:tc>
          <w:tcPr>
            <w:tcW w:w="7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Other (please specify):</w:t>
            </w:r>
          </w:p>
        </w:tc>
        <w:tc>
          <w:tcPr>
            <w:tcW w:w="0" w:type="dxa"/>
            <w:vAlign w:val="bottom"/>
          </w:tcPr>
          <w:p>
            <w:pPr>
              <w:spacing w:after="0"/>
              <w:rPr>
                <w:sz w:val="1"/>
                <w:szCs w:val="1"/>
                <w:color w:val="auto"/>
              </w:rPr>
            </w:pPr>
          </w:p>
        </w:tc>
      </w:tr>
      <w:tr>
        <w:trPr>
          <w:trHeight w:val="227"/>
        </w:trPr>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________________________________________</w:t>
            </w:r>
          </w:p>
        </w:tc>
        <w:tc>
          <w:tcPr>
            <w:tcW w:w="0" w:type="dxa"/>
            <w:vAlign w:val="bottom"/>
          </w:tcPr>
          <w:p>
            <w:pPr>
              <w:spacing w:after="0"/>
              <w:rPr>
                <w:sz w:val="1"/>
                <w:szCs w:val="1"/>
                <w:color w:val="auto"/>
              </w:rPr>
            </w:pPr>
          </w:p>
        </w:tc>
      </w:tr>
      <w:tr>
        <w:trPr>
          <w:trHeight w:val="452"/>
        </w:trPr>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RULE 144 (Not applicable if transaction requested involves</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  a  purchase,  or  (ii)  a  sale  pursuant  to  an  effective</w:t>
            </w:r>
          </w:p>
        </w:tc>
        <w:tc>
          <w:tcPr>
            <w:tcW w:w="0" w:type="dxa"/>
            <w:vAlign w:val="bottom"/>
          </w:tcPr>
          <w:p>
            <w:pPr>
              <w:spacing w:after="0"/>
              <w:rPr>
                <w:sz w:val="1"/>
                <w:szCs w:val="1"/>
                <w:color w:val="auto"/>
              </w:rPr>
            </w:pPr>
          </w:p>
        </w:tc>
      </w:tr>
      <w:tr>
        <w:trPr>
          <w:trHeight w:val="227"/>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SECTION 16</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registration statement)</w:t>
            </w:r>
          </w:p>
        </w:tc>
        <w:tc>
          <w:tcPr>
            <w:tcW w:w="0" w:type="dxa"/>
            <w:vAlign w:val="bottom"/>
          </w:tcPr>
          <w:p>
            <w:pPr>
              <w:spacing w:after="0"/>
              <w:rPr>
                <w:sz w:val="1"/>
                <w:szCs w:val="1"/>
                <w:color w:val="auto"/>
              </w:rPr>
            </w:pPr>
          </w:p>
        </w:tc>
      </w:tr>
      <w:tr>
        <w:trPr>
          <w:trHeight w:val="392"/>
        </w:trPr>
        <w:tc>
          <w:tcPr>
            <w:tcW w:w="2480" w:type="dxa"/>
            <w:vAlign w:val="bottom"/>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 am not subject to Section 16.</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tcPr>
          <w:p>
            <w:pPr>
              <w:jc w:val="right"/>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 am not an “affiliate” of the Company and the transaction</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requested above does not involve the sale of “restricted</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securities” (as such terms are defined under Rule 144</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6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rPr>
              <w:t>under the Securities Act of 1933, as amended).</w:t>
            </w:r>
          </w:p>
        </w:tc>
        <w:tc>
          <w:tcPr>
            <w:tcW w:w="0" w:type="dxa"/>
            <w:vAlign w:val="bottom"/>
          </w:tcPr>
          <w:p>
            <w:pPr>
              <w:spacing w:after="0"/>
              <w:rPr>
                <w:sz w:val="1"/>
                <w:szCs w:val="1"/>
                <w:color w:val="auto"/>
              </w:rPr>
            </w:pPr>
          </w:p>
        </w:tc>
      </w:tr>
    </w:tbl>
    <w:p>
      <w:pPr>
        <w:ind w:left="300" w:hanging="247"/>
        <w:spacing w:after="0" w:line="196" w:lineRule="exact"/>
        <w:tabs>
          <w:tab w:leader="none" w:pos="300" w:val="left"/>
        </w:tabs>
        <w:numPr>
          <w:ilvl w:val="0"/>
          <w:numId w:val="17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To the best of my knowledge, I have not (and am not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To the best of my knowledge, the transaction requested</w:t>
      </w:r>
    </w:p>
    <w:p>
      <w:pPr>
        <w:sectPr>
          <w:pgSz w:w="11900" w:h="16838" w:orient="portrait"/>
          <w:cols w:equalWidth="0" w:num="1">
            <w:col w:w="9019"/>
          </w:cols>
          <w:pgMar w:left="1440" w:top="121" w:right="1440" w:bottom="1440" w:gutter="0" w:footer="0" w:header="0"/>
        </w:sectPr>
      </w:pPr>
    </w:p>
    <w:p>
      <w:pPr>
        <w:spacing w:after="0" w:line="46"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7"/>
          <w:szCs w:val="17"/>
          <w:color w:val="auto"/>
        </w:rPr>
        <w:t>deemed to have) engaged in an opposite way transaction within the previous 6 months that was not exempt from Section 16(b) of the Exchange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79"/>
        <w:spacing w:after="0"/>
        <w:rPr>
          <w:sz w:val="20"/>
          <w:szCs w:val="20"/>
          <w:color w:val="auto"/>
        </w:rPr>
      </w:pPr>
      <w:r>
        <w:rPr>
          <w:rFonts w:ascii="Times New Roman" w:cs="Times New Roman" w:eastAsia="Times New Roman" w:hAnsi="Times New Roman"/>
          <w:sz w:val="17"/>
          <w:szCs w:val="17"/>
          <w:color w:val="auto"/>
        </w:rPr>
        <w:t>above will meet all of the applicable conditions of Rule 144.</w:t>
      </w:r>
    </w:p>
    <w:p>
      <w:pPr>
        <w:spacing w:after="0" w:line="608" w:lineRule="exact"/>
        <w:rPr>
          <w:sz w:val="20"/>
          <w:szCs w:val="20"/>
          <w:color w:val="auto"/>
        </w:rPr>
      </w:pPr>
    </w:p>
    <w:p>
      <w:pPr>
        <w:sectPr>
          <w:pgSz w:w="11900" w:h="16838" w:orient="portrait"/>
          <w:cols w:equalWidth="0" w:num="2">
            <w:col w:w="4400" w:space="400"/>
            <w:col w:w="421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347980</wp:posOffset>
            </wp:positionV>
            <wp:extent cx="5661660" cy="247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CERTIFICATION</w:t>
      </w:r>
    </w:p>
    <w:p>
      <w:pPr>
        <w:spacing w:after="0" w:line="222" w:lineRule="exact"/>
        <w:rPr>
          <w:sz w:val="20"/>
          <w:szCs w:val="20"/>
          <w:color w:val="auto"/>
        </w:rPr>
      </w:pPr>
    </w:p>
    <w:p>
      <w:pPr>
        <w:jc w:val="both"/>
        <w:ind w:left="60" w:right="59" w:hanging="8"/>
        <w:spacing w:after="0" w:line="266" w:lineRule="auto"/>
        <w:rPr>
          <w:sz w:val="20"/>
          <w:szCs w:val="20"/>
          <w:color w:val="auto"/>
        </w:rPr>
      </w:pPr>
      <w:r>
        <w:rPr>
          <w:rFonts w:ascii="Times New Roman" w:cs="Times New Roman" w:eastAsia="Times New Roman" w:hAnsi="Times New Roman"/>
          <w:sz w:val="17"/>
          <w:szCs w:val="17"/>
          <w:color w:val="auto"/>
        </w:rPr>
        <w:t>I hereby certify that I: (1) am not in possession of any material nonpublic information concerning the Company, as defined in the Company’s Insider Trading Policy, (2) am not purchasing any securities of the Company on margin in contravention of the Company’s trading procedures, and (3) have executed the Acknowledgement of the Company’s Insider Trading Policy. I understand that, if I trade while possessing such information or in violation of such trading restrictions, I may be subject to severe civil and/or criminal penalties and may be subject to discipline by the Company including termination.</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620" w:type="dxa"/>
            <w:vAlign w:val="bottom"/>
            <w:gridSpan w:val="3"/>
          </w:tcPr>
          <w:p>
            <w:pPr>
              <w:jc w:val="right"/>
              <w:ind w:right="13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Insider’s Signature</w:t>
            </w:r>
          </w:p>
        </w:tc>
        <w:tc>
          <w:tcPr>
            <w:tcW w:w="160" w:type="dxa"/>
            <w:vAlign w:val="bottom"/>
          </w:tcPr>
          <w:p>
            <w:pPr>
              <w:spacing w:after="0"/>
              <w:rPr>
                <w:sz w:val="19"/>
                <w:szCs w:val="19"/>
                <w:color w:val="auto"/>
              </w:rPr>
            </w:pPr>
          </w:p>
        </w:tc>
        <w:tc>
          <w:tcPr>
            <w:tcW w:w="1460" w:type="dxa"/>
            <w:vAlign w:val="bottom"/>
            <w:tcBorders>
              <w:top w:val="single" w:sz="8" w:color="auto"/>
            </w:tcBorders>
            <w:gridSpan w:val="2"/>
          </w:tcPr>
          <w:p>
            <w:pPr>
              <w:jc w:val="right"/>
              <w:ind w:right="1033"/>
              <w:spacing w:after="0"/>
              <w:rPr>
                <w:sz w:val="20"/>
                <w:szCs w:val="20"/>
                <w:color w:val="auto"/>
              </w:rPr>
            </w:pPr>
            <w:r>
              <w:rPr>
                <w:rFonts w:ascii="Times New Roman" w:cs="Times New Roman" w:eastAsia="Times New Roman" w:hAnsi="Times New Roman"/>
                <w:sz w:val="17"/>
                <w:szCs w:val="17"/>
                <w:color w:val="auto"/>
                <w:w w:val="99"/>
              </w:rPr>
              <w:t>Date</w:t>
            </w:r>
          </w:p>
        </w:tc>
        <w:tc>
          <w:tcPr>
            <w:tcW w:w="0" w:type="dxa"/>
            <w:vAlign w:val="bottom"/>
          </w:tcPr>
          <w:p>
            <w:pPr>
              <w:spacing w:after="0"/>
              <w:rPr>
                <w:sz w:val="1"/>
                <w:szCs w:val="1"/>
                <w:color w:val="auto"/>
              </w:rPr>
            </w:pPr>
          </w:p>
        </w:tc>
      </w:tr>
      <w:tr>
        <w:trPr>
          <w:trHeight w:val="360"/>
        </w:trPr>
        <w:tc>
          <w:tcPr>
            <w:tcW w:w="7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AUTHORIZED APPROVAL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Borders>
              <w:top w:val="single" w:sz="8" w:color="auto"/>
              <w:bottom w:val="single" w:sz="8" w:color="auto"/>
            </w:tcBorders>
            <w:vMerge w:val="restart"/>
          </w:tcPr>
          <w:p>
            <w:pPr>
              <w:spacing w:after="0"/>
              <w:rPr>
                <w:sz w:val="24"/>
                <w:szCs w:val="24"/>
                <w:color w:val="auto"/>
              </w:rPr>
            </w:pPr>
          </w:p>
        </w:tc>
        <w:tc>
          <w:tcPr>
            <w:tcW w:w="2040" w:type="dxa"/>
            <w:vAlign w:val="bottom"/>
            <w:tcBorders>
              <w:top w:val="single" w:sz="8" w:color="auto"/>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 of Compliance Officer (or designee)</w:t>
            </w: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4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Date</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20" w:hanging="572"/>
        <w:spacing w:after="0"/>
        <w:tabs>
          <w:tab w:leader="none" w:pos="620" w:val="left"/>
        </w:tabs>
        <w:numPr>
          <w:ilvl w:val="0"/>
          <w:numId w:val="17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NOTE: Multiple lots must be listed on separate forms or broken out herein.</w:t>
      </w:r>
    </w:p>
    <w:p>
      <w:pPr>
        <w:spacing w:after="0" w:line="200" w:lineRule="exact"/>
        <w:rPr>
          <w:rFonts w:ascii="Times New Roman" w:cs="Times New Roman" w:eastAsia="Times New Roman" w:hAnsi="Times New Roman"/>
          <w:sz w:val="17"/>
          <w:szCs w:val="17"/>
          <w:i w:val="1"/>
          <w:iCs w:val="1"/>
          <w:color w:val="auto"/>
        </w:rPr>
      </w:pPr>
    </w:p>
    <w:p>
      <w:pPr>
        <w:spacing w:after="0" w:line="200" w:lineRule="exact"/>
        <w:rPr>
          <w:rFonts w:ascii="Times New Roman" w:cs="Times New Roman" w:eastAsia="Times New Roman" w:hAnsi="Times New Roman"/>
          <w:sz w:val="17"/>
          <w:szCs w:val="17"/>
          <w:i w:val="1"/>
          <w:iCs w:val="1"/>
          <w:color w:val="auto"/>
        </w:rPr>
      </w:pPr>
    </w:p>
    <w:p>
      <w:pPr>
        <w:spacing w:after="0" w:line="237" w:lineRule="exact"/>
        <w:rPr>
          <w:rFonts w:ascii="Times New Roman" w:cs="Times New Roman" w:eastAsia="Times New Roman" w:hAnsi="Times New Roman"/>
          <w:sz w:val="17"/>
          <w:szCs w:val="17"/>
          <w:i w:val="1"/>
          <w:iCs w:val="1"/>
          <w:color w:val="auto"/>
        </w:rPr>
      </w:pPr>
    </w:p>
    <w:p>
      <w:pPr>
        <w:ind w:left="436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347980</wp:posOffset>
            </wp:positionV>
            <wp:extent cx="566166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5661660" cy="165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9" w:name="page200"/>
    <w:bookmarkEnd w:id="199"/>
    <w:p>
      <w:pPr>
        <w:ind w:left="40"/>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ACKNOWLEDGEMENT</w:t>
      </w:r>
    </w:p>
    <w:p>
      <w:pPr>
        <w:spacing w:after="0" w:line="204" w:lineRule="exact"/>
        <w:rPr>
          <w:sz w:val="20"/>
          <w:szCs w:val="20"/>
          <w:color w:val="auto"/>
        </w:rPr>
      </w:pPr>
    </w:p>
    <w:p>
      <w:pPr>
        <w:jc w:val="both"/>
        <w:ind w:left="60" w:right="59" w:hanging="11"/>
        <w:spacing w:after="0" w:line="259" w:lineRule="auto"/>
        <w:rPr>
          <w:sz w:val="20"/>
          <w:szCs w:val="20"/>
          <w:color w:val="auto"/>
        </w:rPr>
      </w:pPr>
      <w:r>
        <w:rPr>
          <w:rFonts w:ascii="Times New Roman" w:cs="Times New Roman" w:eastAsia="Times New Roman" w:hAnsi="Times New Roman"/>
          <w:sz w:val="17"/>
          <w:szCs w:val="17"/>
          <w:color w:val="auto"/>
        </w:rPr>
        <w:t>I hereby acknowledge that I have read, that I understand, and that I agree to comply with, the Insider Trading Policy of Terrestrial Energy Inc. (the “Company”). I further acknowledge and agree that I am responsible for ensuring compliance with the Insider Trading Policy and the Trading Procedures included therein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in a transaction that the Company considers to be in contravention of the Insider Trading Policy.</w:t>
      </w:r>
    </w:p>
    <w:p>
      <w:pPr>
        <w:spacing w:after="0" w:line="3" w:lineRule="exact"/>
        <w:rPr>
          <w:sz w:val="20"/>
          <w:szCs w:val="20"/>
          <w:color w:val="auto"/>
        </w:rPr>
      </w:pPr>
    </w:p>
    <w:p>
      <w:pPr>
        <w:jc w:val="both"/>
        <w:ind w:left="60" w:right="59" w:hanging="11"/>
        <w:spacing w:after="0" w:line="264" w:lineRule="auto"/>
        <w:rPr>
          <w:sz w:val="20"/>
          <w:szCs w:val="20"/>
          <w:color w:val="auto"/>
        </w:rPr>
      </w:pPr>
      <w:r>
        <w:rPr>
          <w:rFonts w:ascii="Times New Roman" w:cs="Times New Roman" w:eastAsia="Times New Roman" w:hAnsi="Times New Roman"/>
          <w:sz w:val="17"/>
          <w:szCs w:val="17"/>
          <w:color w:val="auto"/>
        </w:rPr>
        <w:t>This acknowledgement will constitute consent for the Company to impose sanctions for violation of the Insider Trading Policy, including the Trading Procedures, and to issue any necessary stop-transfer orders to the Company’s transfer agent to ensure compliance.</w:t>
      </w:r>
    </w:p>
    <w:p>
      <w:pPr>
        <w:spacing w:after="0" w:line="172" w:lineRule="exact"/>
        <w:rPr>
          <w:sz w:val="20"/>
          <w:szCs w:val="20"/>
          <w:color w:val="auto"/>
        </w:rPr>
      </w:pPr>
    </w:p>
    <w:p>
      <w:pPr>
        <w:ind w:left="60"/>
        <w:spacing w:after="0"/>
        <w:tabs>
          <w:tab w:leader="none" w:pos="3860" w:val="left"/>
        </w:tabs>
        <w:rPr>
          <w:sz w:val="20"/>
          <w:szCs w:val="20"/>
          <w:color w:val="auto"/>
        </w:rPr>
      </w:pPr>
      <w:r>
        <w:rPr>
          <w:rFonts w:ascii="Times New Roman" w:cs="Times New Roman" w:eastAsia="Times New Roman" w:hAnsi="Times New Roman"/>
          <w:sz w:val="17"/>
          <w:szCs w:val="17"/>
          <w:color w:val="auto"/>
        </w:rPr>
        <w:t>Date: </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20320</wp:posOffset>
            </wp:positionV>
            <wp:extent cx="53714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5371465" cy="8255"/>
                    </a:xfrm>
                    <a:prstGeom prst="rect">
                      <a:avLst/>
                    </a:prstGeom>
                    <a:noFill/>
                  </pic:spPr>
                </pic:pic>
              </a:graphicData>
            </a:graphic>
          </wp:anchor>
        </w:drawing>
      </w:r>
    </w:p>
    <w:p>
      <w:pPr>
        <w:spacing w:after="0" w:line="20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20320</wp:posOffset>
            </wp:positionV>
            <wp:extent cx="26936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2693670" cy="8255"/>
                    </a:xfrm>
                    <a:prstGeom prst="rect">
                      <a:avLst/>
                    </a:prstGeom>
                    <a:noFill/>
                  </pic:spPr>
                </pic:pic>
              </a:graphicData>
            </a:graphic>
          </wp:anchor>
        </w:drawing>
      </w:r>
    </w:p>
    <w:p>
      <w:pPr>
        <w:spacing w:after="0" w:line="20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20320</wp:posOffset>
            </wp:positionV>
            <wp:extent cx="26936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2693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347980</wp:posOffset>
            </wp:positionV>
            <wp:extent cx="5661660" cy="24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5661660"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0" w:name="page201"/>
    <w:bookmarkEnd w:id="200"/>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FIRM’S CONSENT</w:t>
      </w:r>
    </w:p>
    <w:p>
      <w:pPr>
        <w:spacing w:after="0" w:line="211"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333-292571) of our report dated March 30, 2026, with respect to the consolidated financial statements of Terrestrial Energy Inc., which appears in this annual report on Form 10-K for the year ended December 31, 2025.</w:t>
      </w: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 UHY LLP</w:t>
      </w: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Melville, NY</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March 30, 2026</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 member of UHY international, a network of independent accounting and consulting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351790</wp:posOffset>
            </wp:positionV>
            <wp:extent cx="5462270" cy="247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5462270" cy="24765"/>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Simon Irish, certify that:</w:t>
      </w:r>
    </w:p>
    <w:p>
      <w:pPr>
        <w:spacing w:after="0" w:line="222" w:lineRule="exact"/>
        <w:rPr>
          <w:sz w:val="20"/>
          <w:szCs w:val="20"/>
          <w:color w:val="auto"/>
        </w:rPr>
      </w:pPr>
    </w:p>
    <w:p>
      <w:pPr>
        <w:ind w:left="320" w:hanging="315"/>
        <w:spacing w:after="0"/>
        <w:tabs>
          <w:tab w:leader="none" w:pos="32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Terrestrial Energy Inc.;</w:t>
      </w:r>
    </w:p>
    <w:p>
      <w:pPr>
        <w:spacing w:after="0" w:line="222" w:lineRule="exact"/>
        <w:rPr>
          <w:rFonts w:ascii="Times New Roman" w:cs="Times New Roman" w:eastAsia="Times New Roman" w:hAnsi="Times New Roman"/>
          <w:sz w:val="17"/>
          <w:szCs w:val="17"/>
          <w:color w:val="auto"/>
        </w:rPr>
      </w:pPr>
    </w:p>
    <w:p>
      <w:pPr>
        <w:ind w:right="160" w:firstLine="5"/>
        <w:spacing w:after="0" w:line="275" w:lineRule="auto"/>
        <w:tabs>
          <w:tab w:leader="none" w:pos="31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right="300" w:firstLine="5"/>
        <w:spacing w:after="0" w:line="295" w:lineRule="auto"/>
        <w:tabs>
          <w:tab w:leader="none" w:pos="31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40" w:firstLine="5"/>
        <w:spacing w:after="0" w:line="275" w:lineRule="auto"/>
        <w:tabs>
          <w:tab w:leader="none" w:pos="31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right="420" w:firstLine="319"/>
        <w:spacing w:after="0" w:line="27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right="80" w:firstLine="319"/>
        <w:spacing w:after="0" w:line="27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right="160" w:firstLine="319"/>
        <w:spacing w:after="0" w:line="29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right="260" w:firstLine="319"/>
        <w:spacing w:after="0" w:line="27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right="440" w:firstLine="5"/>
        <w:spacing w:after="0" w:line="275" w:lineRule="auto"/>
        <w:tabs>
          <w:tab w:leader="none" w:pos="31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right="120" w:firstLine="319"/>
        <w:spacing w:after="0" w:line="29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right="400" w:firstLine="319"/>
        <w:spacing w:after="0" w:line="295" w:lineRule="auto"/>
        <w:tabs>
          <w:tab w:leader="none" w:pos="627"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March 30, 2026</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rPr>
              <w:t>By: /s/ Simon Irish</w:t>
            </w:r>
          </w:p>
        </w:tc>
      </w:tr>
      <w:tr>
        <w:trPr>
          <w:trHeight w:val="18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Simon Irish</w:t>
            </w:r>
          </w:p>
        </w:tc>
      </w:t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750"/>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RULE 15d-14(a)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Thrasher, certify that:</w:t>
      </w:r>
    </w:p>
    <w:p>
      <w:pPr>
        <w:spacing w:after="0" w:line="222" w:lineRule="exact"/>
        <w:rPr>
          <w:sz w:val="20"/>
          <w:szCs w:val="20"/>
          <w:color w:val="auto"/>
        </w:rPr>
      </w:pPr>
    </w:p>
    <w:p>
      <w:pPr>
        <w:ind w:left="320" w:hanging="315"/>
        <w:spacing w:after="0"/>
        <w:tabs>
          <w:tab w:leader="none" w:pos="3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Terrestrial Energy Inc.;</w:t>
      </w:r>
    </w:p>
    <w:p>
      <w:pPr>
        <w:spacing w:after="0" w:line="222" w:lineRule="exact"/>
        <w:rPr>
          <w:rFonts w:ascii="Times New Roman" w:cs="Times New Roman" w:eastAsia="Times New Roman" w:hAnsi="Times New Roman"/>
          <w:sz w:val="17"/>
          <w:szCs w:val="17"/>
          <w:color w:val="auto"/>
        </w:rPr>
      </w:pPr>
    </w:p>
    <w:p>
      <w:pPr>
        <w:ind w:right="160" w:firstLine="5"/>
        <w:spacing w:after="0" w:line="275" w:lineRule="auto"/>
        <w:tabs>
          <w:tab w:leader="none" w:pos="3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right="300" w:firstLine="5"/>
        <w:spacing w:after="0" w:line="295" w:lineRule="auto"/>
        <w:tabs>
          <w:tab w:leader="none" w:pos="3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40" w:firstLine="5"/>
        <w:spacing w:after="0" w:line="275" w:lineRule="auto"/>
        <w:tabs>
          <w:tab w:leader="none" w:pos="3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jc w:val="both"/>
        <w:ind w:right="420" w:firstLine="319"/>
        <w:spacing w:after="0" w:line="27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jc w:val="both"/>
        <w:ind w:right="80" w:firstLine="319"/>
        <w:spacing w:after="0" w:line="27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right="160" w:firstLine="319"/>
        <w:spacing w:after="0" w:line="29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right="260" w:firstLine="319"/>
        <w:spacing w:after="0" w:line="27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right="440" w:firstLine="5"/>
        <w:spacing w:after="0" w:line="275" w:lineRule="auto"/>
        <w:tabs>
          <w:tab w:leader="none" w:pos="31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right="120" w:firstLine="319"/>
        <w:spacing w:after="0" w:line="29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right="400" w:firstLine="319"/>
        <w:spacing w:after="0" w:line="295" w:lineRule="auto"/>
        <w:tabs>
          <w:tab w:leader="none" w:pos="627"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March 30, 2026</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rPr>
              <w:t>By: /s/ Brian Thrasher</w:t>
            </w:r>
          </w:p>
        </w:tc>
      </w:tr>
      <w:tr>
        <w:trPr>
          <w:trHeight w:val="18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Brian Thrasher</w:t>
            </w:r>
          </w:p>
        </w:tc>
      </w:t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r>
        <w:trPr>
          <w:trHeight w:val="750"/>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PRINCIPAL FINANCIAL OFFICER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ind w:right="40" w:firstLine="627"/>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of Terrestrial Energy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the fiscal year ended December 31, 2025, as filed with the Securities and Exchange Commission on the date hereof (the “</w:t>
      </w:r>
      <w:r>
        <w:rPr>
          <w:rFonts w:ascii="Times New Roman" w:cs="Times New Roman" w:eastAsia="Times New Roman" w:hAnsi="Times New Roman"/>
          <w:sz w:val="17"/>
          <w:szCs w:val="17"/>
          <w:b w:val="1"/>
          <w:bCs w:val="1"/>
          <w:color w:val="auto"/>
        </w:rPr>
        <w:t>Repor</w:t>
      </w:r>
      <w:r>
        <w:rPr>
          <w:rFonts w:ascii="Times New Roman" w:cs="Times New Roman" w:eastAsia="Times New Roman" w:hAnsi="Times New Roman"/>
          <w:sz w:val="17"/>
          <w:szCs w:val="17"/>
          <w:color w:val="auto"/>
        </w:rPr>
        <w:t>t”), each of Simon Irish, Chief Executive Officer, and Brian Thrasher, Chief Financial Officer of the Company certifies, pursuant to 18 U.S.C. Section 1350, as adopted pursuant to Section 906 of the Sarbanes-Oxley Act of 2002, that to my knowledge:</w:t>
      </w:r>
    </w:p>
    <w:p>
      <w:pPr>
        <w:spacing w:after="0" w:line="167" w:lineRule="exact"/>
        <w:rPr>
          <w:sz w:val="20"/>
          <w:szCs w:val="20"/>
          <w:color w:val="auto"/>
        </w:rPr>
      </w:pPr>
    </w:p>
    <w:p>
      <w:pPr>
        <w:ind w:left="320" w:hanging="315"/>
        <w:spacing w:after="0"/>
        <w:tabs>
          <w:tab w:leader="none" w:pos="32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22" w:lineRule="exact"/>
        <w:rPr>
          <w:rFonts w:ascii="Times New Roman" w:cs="Times New Roman" w:eastAsia="Times New Roman" w:hAnsi="Times New Roman"/>
          <w:sz w:val="17"/>
          <w:szCs w:val="17"/>
          <w:color w:val="auto"/>
        </w:rPr>
      </w:pPr>
    </w:p>
    <w:p>
      <w:pPr>
        <w:ind w:right="260" w:firstLine="5"/>
        <w:spacing w:after="0" w:line="295" w:lineRule="auto"/>
        <w:tabs>
          <w:tab w:leader="none" w:pos="313"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and for the period covered by the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March 30, 2026</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rPr>
              <w:t>By: /s/ Simon Irish</w:t>
            </w:r>
          </w:p>
        </w:tc>
      </w:tr>
      <w:tr>
        <w:trPr>
          <w:trHeight w:val="18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2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Simon Irish</w:t>
            </w:r>
          </w:p>
        </w:tc>
      </w:t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1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rPr>
              <w:t>By: /s/ Brian Thrasher</w:t>
            </w:r>
          </w:p>
        </w:tc>
      </w:tr>
      <w:tr>
        <w:trPr>
          <w:trHeight w:val="18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62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Brian Thrasher</w:t>
            </w:r>
          </w:p>
        </w:tc>
      </w:t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r>
        <w:trPr>
          <w:trHeight w:val="750"/>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lowerRoman"/>
      <w:start w:val="3"/>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1)"/>
      <w:numFmt w:val="lowerLetter"/>
      <w:start w:val="1"/>
    </w:lvl>
  </w:abstractNum>
  <w:abstractNum w:abstractNumId="24">
    <w:nsid w:val="6FC75AF8"/>
    <w:multiLevelType w:val="hybridMultilevel"/>
    <w:lvl w:ilvl="0">
      <w:lvlJc w:val="left"/>
      <w:lvlText w:val="(%1)"/>
      <w:numFmt w:val="lowerRoman"/>
      <w:start w:val="2"/>
    </w:lvl>
  </w:abstractNum>
  <w:abstractNum w:abstractNumId="25">
    <w:nsid w:val="6A5F7029"/>
    <w:multiLevelType w:val="hybridMultilevel"/>
    <w:lvl w:ilvl="0">
      <w:lvlJc w:val="left"/>
      <w:lvlText w:val="(%1)"/>
      <w:numFmt w:val="decimal"/>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1)"/>
      <w:numFmt w:val="lowerLetter"/>
      <w:start w:val="1"/>
    </w:lvl>
    <w:lvl w:ilvl="1">
      <w:lvlJc w:val="left"/>
      <w:lvlText w:val="%2."/>
      <w:numFmt w:val="decimal"/>
      <w:start w:val="2"/>
    </w:lvl>
  </w:abstractNum>
  <w:abstractNum w:abstractNumId="32">
    <w:nsid w:val="14FCE74E"/>
    <w:multiLevelType w:val="hybridMultilevel"/>
    <w:lvl w:ilvl="0">
      <w:lvlJc w:val="left"/>
      <w:lvlText w:val="‡"/>
      <w:numFmt w:val="bullet"/>
      <w:start w:val="1"/>
    </w:lvl>
    <w:lvl w:ilvl="1">
      <w:lvlJc w:val="left"/>
      <w:lvlText w:val="%2"/>
      <w:numFmt w:val="decimal"/>
      <w:start w:val="104"/>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1)"/>
      <w:numFmt w:val="decimal"/>
      <w:start w:val="1"/>
    </w:lvl>
  </w:abstractNum>
  <w:abstractNum w:abstractNumId="37">
    <w:nsid w:val="1FBFE8E0"/>
    <w:multiLevelType w:val="hybridMultilevel"/>
    <w:lvl w:ilvl="0">
      <w:lvlJc w:val="left"/>
      <w:lvlText w:val="%1."/>
      <w:numFmt w:val="upperLetter"/>
      <w:start w:val="1"/>
    </w:lvl>
  </w:abstractNum>
  <w:abstractNum w:abstractNumId="38">
    <w:nsid w:val="5092CA79"/>
    <w:multiLevelType w:val="hybridMultilevel"/>
    <w:lvl w:ilvl="0">
      <w:lvlJc w:val="left"/>
      <w:lvlText w:val="%1."/>
      <w:numFmt w:val="upperLetter"/>
      <w:start w:val="1"/>
    </w:lvl>
  </w:abstractNum>
  <w:abstractNum w:abstractNumId="39">
    <w:nsid w:val="1D545C4D"/>
    <w:multiLevelType w:val="hybridMultilevel"/>
    <w:lvl w:ilvl="0">
      <w:lvlJc w:val="left"/>
      <w:lvlText w:val="%1."/>
      <w:numFmt w:val="upperLetter"/>
      <w:start w:val="2"/>
    </w:lvl>
  </w:abstractNum>
  <w:abstractNum w:abstractNumId="40">
    <w:nsid w:val="59ADEA3D"/>
    <w:multiLevelType w:val="hybridMultilevel"/>
    <w:lvl w:ilvl="0">
      <w:lvlJc w:val="left"/>
      <w:lvlText w:val="%1."/>
      <w:numFmt w:val="upperLetter"/>
      <w:start w:val="3"/>
    </w:lvl>
  </w:abstractNum>
  <w:abstractNum w:abstractNumId="41">
    <w:nsid w:val="288F1A34"/>
    <w:multiLevelType w:val="hybridMultilevel"/>
    <w:lvl w:ilvl="0">
      <w:lvlJc w:val="left"/>
      <w:lvlText w:val="%1."/>
      <w:numFmt w:val="upperLetter"/>
      <w:start w:val="1"/>
    </w:lvl>
  </w:abstractNum>
  <w:abstractNum w:abstractNumId="42">
    <w:nsid w:val="2A155DBC"/>
    <w:multiLevelType w:val="hybridMultilevel"/>
    <w:lvl w:ilvl="0">
      <w:lvlJc w:val="left"/>
      <w:lvlText w:val="%1."/>
      <w:numFmt w:val="upperLetter"/>
      <w:start w:val="2"/>
    </w:lvl>
  </w:abstractNum>
  <w:abstractNum w:abstractNumId="43">
    <w:nsid w:val="1D9F6E5F"/>
    <w:multiLevelType w:val="hybridMultilevel"/>
    <w:lvl w:ilvl="0">
      <w:lvlJc w:val="left"/>
      <w:lvlText w:val="%1."/>
      <w:numFmt w:val="upperLetter"/>
      <w:start w:val="1"/>
    </w:lvl>
  </w:abstractNum>
  <w:abstractNum w:abstractNumId="44">
    <w:nsid w:val="97E1B4E"/>
    <w:multiLevelType w:val="hybridMultilevel"/>
    <w:lvl w:ilvl="0">
      <w:lvlJc w:val="left"/>
      <w:lvlText w:val="%1."/>
      <w:numFmt w:val="upperLetter"/>
      <w:start w:val="1"/>
    </w:lvl>
  </w:abstractNum>
  <w:abstractNum w:abstractNumId="45">
    <w:nsid w:val="51088277"/>
    <w:multiLevelType w:val="hybridMultilevel"/>
    <w:lvl w:ilvl="0">
      <w:lvlJc w:val="left"/>
      <w:lvlText w:val="%1."/>
      <w:numFmt w:val="upperLetter"/>
      <w:start w:val="1"/>
    </w:lvl>
  </w:abstractNum>
  <w:abstractNum w:abstractNumId="46">
    <w:nsid w:val="1CA0C5FA"/>
    <w:multiLevelType w:val="hybridMultilevel"/>
    <w:lvl w:ilvl="0">
      <w:lvlJc w:val="left"/>
      <w:lvlText w:val="%1."/>
      <w:numFmt w:val="upperLetter"/>
      <w:start w:val="1"/>
    </w:lvl>
  </w:abstractNum>
  <w:abstractNum w:abstractNumId="47">
    <w:nsid w:val="53584BCB"/>
    <w:multiLevelType w:val="hybridMultilevel"/>
    <w:lvl w:ilvl="0">
      <w:lvlJc w:val="left"/>
      <w:lvlText w:val="%1."/>
      <w:numFmt w:val="decimal"/>
      <w:start w:val="1"/>
    </w:lvl>
  </w:abstractNum>
  <w:abstractNum w:abstractNumId="48">
    <w:nsid w:val="415E286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49">
    <w:nsid w:val="7C58FD05"/>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abstractNum>
  <w:abstractNum w:abstractNumId="50">
    <w:nsid w:val="23D86AA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
    <w:nsid w:val="45E6D486"/>
    <w:multiLevelType w:val="hybridMultilevel"/>
    <w:lvl w:ilvl="0">
      <w:lvlJc w:val="left"/>
      <w:lvlText w:val="(%1)"/>
      <w:numFmt w:val="upperLetter"/>
      <w:start w:val="5"/>
    </w:lvl>
  </w:abstractNum>
  <w:abstractNum w:abstractNumId="52">
    <w:nsid w:val="5C10FE2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5)"/>
      <w:numFmt w:val="upperLetter"/>
      <w:start w:val="1"/>
    </w:lvl>
  </w:abstractNum>
  <w:abstractNum w:abstractNumId="53">
    <w:nsid w:val="E7FFA2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Letter"/>
      <w:start w:val="1"/>
    </w:lvl>
    <w:lvl w:ilvl="4">
      <w:lvlJc w:val="left"/>
      <w:lvlText w:val="%5"/>
      <w:numFmt w:val="upperLetter"/>
      <w:start w:val="1"/>
    </w:lvl>
  </w:abstractNum>
  <w:abstractNum w:abstractNumId="54">
    <w:nsid w:val="3C5991AA"/>
    <w:multiLevelType w:val="hybridMultilevel"/>
    <w:lvl w:ilvl="0">
      <w:lvlJc w:val="left"/>
      <w:lvlText w:val="%1"/>
      <w:numFmt w:val="upperLetter"/>
      <w:start w:val="1"/>
    </w:lvl>
    <w:lvl w:ilvl="1">
      <w:lvlJc w:val="left"/>
      <w:lvlText w:val="%2."/>
      <w:numFmt w:val="decimal"/>
      <w:start w:val="11"/>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55">
    <w:nsid w:val="4BD8591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2"/>
    </w:lvl>
    <w:lvl w:ilvl="3">
      <w:lvlJc w:val="left"/>
      <w:lvlText w:val="(%4)"/>
      <w:numFmt w:val="lowerLetter"/>
      <w:start w:val="9"/>
    </w:lvl>
    <w:lvl w:ilvl="4">
      <w:lvlJc w:val="left"/>
      <w:lvlText w:val="%5"/>
      <w:numFmt w:val="upperLetter"/>
      <w:start w:val="1"/>
    </w:lvl>
  </w:abstractNum>
  <w:abstractNum w:abstractNumId="56">
    <w:nsid w:val="78DF6A55"/>
    <w:multiLevelType w:val="hybridMultilevel"/>
    <w:lvl w:ilvl="0">
      <w:lvlJc w:val="left"/>
      <w:lvlText w:val="(%1)"/>
      <w:numFmt w:val="lowerRoman"/>
      <w:start w:val="2"/>
    </w:lvl>
    <w:lvl w:ilvl="1">
      <w:lvlJc w:val="left"/>
      <w:lvlText w:val="(%2)"/>
      <w:numFmt w:val="upperLetter"/>
      <w:start w:val="1"/>
    </w:lvl>
  </w:abstractNum>
  <w:abstractNum w:abstractNumId="57">
    <w:nsid w:val="39B7AAA2"/>
    <w:multiLevelType w:val="hybridMultilevel"/>
    <w:lvl w:ilvl="0">
      <w:lvlJc w:val="left"/>
      <w:lvlText w:val="(%1)"/>
      <w:numFmt w:val="upperLetter"/>
      <w:start w:val="2"/>
    </w:lvl>
  </w:abstractNum>
  <w:abstractNum w:abstractNumId="58">
    <w:nsid w:val="2B0D8DBE"/>
    <w:multiLevelType w:val="hybridMultilevel"/>
    <w:lvl w:ilvl="0">
      <w:lvlJc w:val="left"/>
      <w:lvlText w:val="%1"/>
      <w:numFmt w:val="decimal"/>
      <w:start w:val="1"/>
    </w:lvl>
    <w:lvl w:ilvl="1">
      <w:lvlJc w:val="left"/>
      <w:lvlText w:val="(%2)"/>
      <w:numFmt w:val="lowerLetter"/>
      <w:start w:val="3"/>
    </w:lvl>
  </w:abstractNum>
  <w:abstractNum w:abstractNumId="59">
    <w:nsid w:val="6C80EC70"/>
    <w:multiLevelType w:val="hybridMultilevel"/>
    <w:lvl w:ilvl="0">
      <w:lvlJc w:val="left"/>
      <w:lvlText w:val="%1."/>
      <w:numFmt w:val="decimal"/>
      <w:start w:val="12"/>
    </w:lvl>
    <w:lvl w:ilvl="1">
      <w:lvlJc w:val="left"/>
      <w:lvlText w:val="(%2)"/>
      <w:numFmt w:val="lowerLetter"/>
      <w:start w:val="1"/>
    </w:lvl>
  </w:abstractNum>
  <w:abstractNum w:abstractNumId="60">
    <w:nsid w:val="379E21B5"/>
    <w:multiLevelType w:val="hybridMultilevel"/>
    <w:lvl w:ilvl="0">
      <w:lvlJc w:val="left"/>
      <w:lvlText w:val="(%1)"/>
      <w:numFmt w:val="lowerLetter"/>
      <w:start w:val="2"/>
    </w:lvl>
    <w:lvl w:ilvl="1">
      <w:lvlJc w:val="left"/>
      <w:lvlText w:val="(%2)"/>
      <w:numFmt w:val="lowerRoman"/>
      <w:start w:val="1"/>
    </w:lvl>
  </w:abstractNum>
  <w:abstractNum w:abstractNumId="61">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2">
    <w:nsid w:val="2C27173B"/>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63">
    <w:nsid w:val="4C9B0904"/>
    <w:multiLevelType w:val="hybridMultilevel"/>
    <w:lvl w:ilvl="0">
      <w:lvlJc w:val="left"/>
      <w:lvlText w:val="%1."/>
      <w:numFmt w:val="decimal"/>
      <w:start w:val="15"/>
    </w:lvl>
  </w:abstractNum>
  <w:abstractNum w:abstractNumId="64">
    <w:nsid w:val="6AA7B75C"/>
    <w:multiLevelType w:val="hybridMultilevel"/>
    <w:lvl w:ilvl="0">
      <w:lvlJc w:val="left"/>
      <w:lvlText w:val="%1."/>
      <w:numFmt w:val="decimal"/>
      <w:start w:val="18"/>
    </w:lvl>
  </w:abstractNum>
  <w:abstractNum w:abstractNumId="65">
    <w:nsid w:val="1DF029D3"/>
    <w:multiLevelType w:val="hybridMultilevel"/>
    <w:lvl w:ilvl="0">
      <w:lvlJc w:val="left"/>
      <w:lvlText w:val="%1."/>
      <w:numFmt w:val="decimal"/>
      <w:start w:val="26"/>
    </w:lvl>
    <w:lvl w:ilvl="1">
      <w:lvlJc w:val="left"/>
      <w:lvlText w:val="(%2)"/>
      <w:numFmt w:val="lowerLetter"/>
      <w:start w:val="1"/>
    </w:lvl>
  </w:abstractNum>
  <w:abstractNum w:abstractNumId="66">
    <w:nsid w:val="5675FF36"/>
    <w:multiLevelType w:val="hybridMultilevel"/>
    <w:lvl w:ilvl="0">
      <w:lvlJc w:val="left"/>
      <w:lvlText w:val="(%1)"/>
      <w:numFmt w:val="lowerLetter"/>
      <w:start w:val="4"/>
    </w:lvl>
  </w:abstractNum>
  <w:abstractNum w:abstractNumId="67">
    <w:nsid w:val="3DD15094"/>
    <w:multiLevelType w:val="hybridMultilevel"/>
    <w:lvl w:ilvl="0">
      <w:lvlJc w:val="left"/>
      <w:lvlText w:val="%1."/>
      <w:numFmt w:val="decimal"/>
      <w:start w:val="28"/>
    </w:lvl>
    <w:lvl w:ilvl="1">
      <w:lvlJc w:val="left"/>
      <w:lvlText w:val="(%2)"/>
      <w:numFmt w:val="lowerLetter"/>
      <w:start w:val="1"/>
    </w:lvl>
  </w:abstractNum>
  <w:abstractNum w:abstractNumId="68">
    <w:nsid w:val="3DB012B3"/>
    <w:multiLevelType w:val="hybridMultilevel"/>
    <w:lvl w:ilvl="0">
      <w:lvlJc w:val="left"/>
      <w:lvlText w:val="%1."/>
      <w:numFmt w:val="decimal"/>
      <w:start w:val="30"/>
    </w:lvl>
    <w:lvl w:ilvl="1">
      <w:lvlJc w:val="left"/>
      <w:lvlText w:val="(%2)"/>
      <w:numFmt w:val="lowerLetter"/>
      <w:start w:val="1"/>
    </w:lvl>
  </w:abstractNum>
  <w:abstractNum w:abstractNumId="69">
    <w:nsid w:val="2708C9AF"/>
    <w:multiLevelType w:val="hybridMultilevel"/>
    <w:lvl w:ilvl="0">
      <w:lvlJc w:val="left"/>
      <w:lvlText w:val="%1"/>
      <w:numFmt w:val="decimal"/>
      <w:start w:val="1"/>
    </w:lvl>
    <w:lvl w:ilvl="1">
      <w:lvlJc w:val="left"/>
      <w:lvlText w:val="(%2)"/>
      <w:numFmt w:val="lowerLetter"/>
      <w:start w:val="7"/>
    </w:lvl>
  </w:abstractNum>
  <w:abstractNum w:abstractNumId="70">
    <w:nsid w:val="5B25ACE2"/>
    <w:multiLevelType w:val="hybridMultilevel"/>
    <w:lvl w:ilvl="0">
      <w:lvlJc w:val="left"/>
      <w:lvlText w:val="%1."/>
      <w:numFmt w:val="decimal"/>
      <w:start w:val="31"/>
    </w:lvl>
    <w:lvl w:ilvl="1">
      <w:lvlJc w:val="left"/>
      <w:lvlText w:val="%2"/>
      <w:numFmt w:val="lowerLetter"/>
      <w:start w:val="1"/>
    </w:lvl>
  </w:abstractNum>
  <w:abstractNum w:abstractNumId="71">
    <w:nsid w:val="175DFCF0"/>
    <w:multiLevelType w:val="hybridMultilevel"/>
    <w:lvl w:ilvl="0">
      <w:lvlJc w:val="left"/>
      <w:lvlText w:val="%1."/>
      <w:numFmt w:val="decimal"/>
      <w:start w:val="34"/>
    </w:lvl>
  </w:abstractNum>
  <w:abstractNum w:abstractNumId="72">
    <w:nsid w:val="4F97E3E4"/>
    <w:multiLevelType w:val="hybridMultilevel"/>
    <w:lvl w:ilvl="0">
      <w:lvlJc w:val="left"/>
      <w:lvlText w:val="%1."/>
      <w:numFmt w:val="decimal"/>
      <w:start w:val="36"/>
    </w:lvl>
  </w:abstractNum>
  <w:abstractNum w:abstractNumId="73">
    <w:nsid w:val="53B0A9E"/>
    <w:multiLevelType w:val="hybridMultilevel"/>
    <w:lvl w:ilvl="0">
      <w:lvlJc w:val="left"/>
      <w:lvlText w:val="%1."/>
      <w:numFmt w:val="decimal"/>
      <w:start w:val="37"/>
    </w:lvl>
  </w:abstractNum>
  <w:abstractNum w:abstractNumId="74">
    <w:nsid w:val="34FD6B4F"/>
    <w:multiLevelType w:val="hybridMultilevel"/>
    <w:lvl w:ilvl="0">
      <w:lvlJc w:val="left"/>
      <w:lvlText w:val="(%1)"/>
      <w:numFmt w:val="lowerLetter"/>
      <w:start w:val="1"/>
    </w:lvl>
  </w:abstractNum>
  <w:abstractNum w:abstractNumId="75">
    <w:nsid w:val="5915FF32"/>
    <w:multiLevelType w:val="hybridMultilevel"/>
    <w:lvl w:ilvl="0">
      <w:lvlJc w:val="left"/>
      <w:lvlText w:val="(%1)"/>
      <w:numFmt w:val="lowerLetter"/>
      <w:start w:val="2"/>
    </w:lvl>
  </w:abstractNum>
  <w:abstractNum w:abstractNumId="76">
    <w:nsid w:val="56438D15"/>
    <w:multiLevelType w:val="hybridMultilevel"/>
    <w:lvl w:ilvl="0">
      <w:lvlJc w:val="left"/>
      <w:lvlText w:val="(%1)"/>
      <w:numFmt w:val="lowerLetter"/>
      <w:start w:val="1"/>
    </w:lvl>
  </w:abstractNum>
  <w:abstractNum w:abstractNumId="77">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2C6E4AFD"/>
    <w:multiLevelType w:val="hybridMultilevel"/>
    <w:lvl w:ilvl="0">
      <w:lvlJc w:val="left"/>
      <w:lvlText w:val="%1"/>
      <w:numFmt w:val="decimal"/>
      <w:start w:val="1"/>
    </w:lvl>
    <w:lvl w:ilvl="1">
      <w:lvlJc w:val="left"/>
      <w:lvlText w:val="(%2)"/>
      <w:numFmt w:val="lowerRoman"/>
      <w:start w:val="2"/>
    </w:lvl>
  </w:abstractNum>
  <w:abstractNum w:abstractNumId="79">
    <w:nsid w:val="17A1B582"/>
    <w:multiLevelType w:val="hybridMultilevel"/>
    <w:lvl w:ilvl="0">
      <w:lvlJc w:val="left"/>
      <w:lvlText w:val="(%1)"/>
      <w:numFmt w:val="decimal"/>
      <w:start w:val="2"/>
    </w:lvl>
    <w:lvl w:ilvl="1">
      <w:lvlJc w:val="left"/>
      <w:lvlText w:val="%2"/>
      <w:numFmt w:val="lowerRoman"/>
      <w:start w:val="1"/>
    </w:lvl>
  </w:abstractNum>
  <w:abstractNum w:abstractNumId="80">
    <w:nsid w:val="4DF72E4E"/>
    <w:multiLevelType w:val="hybridMultilevel"/>
    <w:lvl w:ilvl="0">
      <w:lvlJc w:val="left"/>
      <w:lvlText w:val="(%1)"/>
      <w:numFmt w:val="decimal"/>
      <w:start w:val="1"/>
    </w:lvl>
  </w:abstractNum>
  <w:abstractNum w:abstractNumId="81">
    <w:nsid w:val="5046B5A9"/>
    <w:multiLevelType w:val="hybridMultilevel"/>
    <w:lvl w:ilvl="0">
      <w:lvlJc w:val="left"/>
      <w:lvlText w:val="(%1)"/>
      <w:numFmt w:val="decimal"/>
      <w:start w:val="2"/>
    </w:lvl>
  </w:abstractNum>
  <w:abstractNum w:abstractNumId="82">
    <w:nsid w:val="5D888A08"/>
    <w:multiLevelType w:val="hybridMultilevel"/>
    <w:lvl w:ilvl="0">
      <w:lvlJc w:val="left"/>
      <w:lvlText w:val="(%1)"/>
      <w:numFmt w:val="decimal"/>
      <w:start w:val="1"/>
    </w:lvl>
  </w:abstractNum>
  <w:abstractNum w:abstractNumId="83">
    <w:nsid w:val="2A082C70"/>
    <w:multiLevelType w:val="hybridMultilevel"/>
    <w:lvl w:ilvl="0">
      <w:lvlJc w:val="left"/>
      <w:lvlText w:val="(%1)"/>
      <w:numFmt w:val="decimal"/>
      <w:start w:val="3"/>
    </w:lvl>
  </w:abstractNum>
  <w:abstractNum w:abstractNumId="84">
    <w:nsid w:val="5EC6AFD4"/>
    <w:multiLevelType w:val="hybridMultilevel"/>
    <w:lvl w:ilvl="0">
      <w:lvlJc w:val="left"/>
      <w:lvlText w:val="(%1)"/>
      <w:numFmt w:val="decimal"/>
      <w:start w:val="4"/>
    </w:lvl>
  </w:abstractNum>
  <w:abstractNum w:abstractNumId="85">
    <w:nsid w:val="19E21BB2"/>
    <w:multiLevelType w:val="hybridMultilevel"/>
    <w:lvl w:ilvl="0">
      <w:lvlJc w:val="left"/>
      <w:lvlText w:val="(%1)"/>
      <w:numFmt w:val="decimal"/>
      <w:start w:val="1"/>
    </w:lvl>
    <w:lvl w:ilvl="1">
      <w:lvlJc w:val="left"/>
      <w:lvlText w:val="(%2)"/>
      <w:numFmt w:val="lowerLetter"/>
      <w:start w:val="1"/>
    </w:lvl>
  </w:abstractNum>
  <w:abstractNum w:abstractNumId="86">
    <w:nsid w:val="75E0858A"/>
    <w:multiLevelType w:val="hybridMultilevel"/>
    <w:lvl w:ilvl="0">
      <w:lvlJc w:val="left"/>
      <w:lvlText w:val="(%1)"/>
      <w:numFmt w:val="lowerLetter"/>
      <w:start w:val="2"/>
    </w:lvl>
  </w:abstractNum>
  <w:abstractNum w:abstractNumId="87">
    <w:nsid w:val="57A61A29"/>
    <w:multiLevelType w:val="hybridMultilevel"/>
    <w:lvl w:ilvl="0">
      <w:lvlJc w:val="left"/>
      <w:lvlText w:val="(%1)"/>
      <w:numFmt w:val="decimal"/>
      <w:start w:val="2"/>
    </w:lvl>
  </w:abstractNum>
  <w:abstractNum w:abstractNumId="88">
    <w:nsid w:val="5399C654"/>
    <w:multiLevelType w:val="hybridMultilevel"/>
    <w:lvl w:ilvl="0">
      <w:lvlJc w:val="left"/>
      <w:lvlText w:val="(%1)"/>
      <w:numFmt w:val="decimal"/>
      <w:start w:val="1"/>
    </w:lvl>
  </w:abstractNum>
  <w:abstractNum w:abstractNumId="89">
    <w:nsid w:val="20EE1348"/>
    <w:multiLevelType w:val="hybridMultilevel"/>
    <w:lvl w:ilvl="0">
      <w:lvlJc w:val="left"/>
      <w:lvlText w:val="(%1)"/>
      <w:numFmt w:val="decimal"/>
      <w:start w:val="2"/>
    </w:lvl>
  </w:abstractNum>
  <w:abstractNum w:abstractNumId="90">
    <w:nsid w:val="4427069A"/>
    <w:multiLevelType w:val="hybridMultilevel"/>
    <w:lvl w:ilvl="0">
      <w:lvlJc w:val="left"/>
      <w:lvlText w:val="(%1)"/>
      <w:numFmt w:val="decimal"/>
      <w:start w:val="5"/>
    </w:lvl>
  </w:abstractNum>
  <w:abstractNum w:abstractNumId="91">
    <w:nsid w:val="B37E80A"/>
    <w:multiLevelType w:val="hybridMultilevel"/>
    <w:lvl w:ilvl="0">
      <w:lvlJc w:val="left"/>
      <w:lvlText w:val="(%1)"/>
      <w:numFmt w:val="lowerLetter"/>
      <w:start w:val="1"/>
    </w:lvl>
  </w:abstractNum>
  <w:abstractNum w:abstractNumId="92">
    <w:nsid w:val="2157F6BC"/>
    <w:multiLevelType w:val="hybridMultilevel"/>
    <w:lvl w:ilvl="0">
      <w:lvlJc w:val="left"/>
      <w:lvlText w:val="(%1)"/>
      <w:numFmt w:val="lowerLetter"/>
      <w:start w:val="1"/>
    </w:lvl>
  </w:abstractNum>
  <w:abstractNum w:abstractNumId="93">
    <w:nsid w:val="704E1DD5"/>
    <w:multiLevelType w:val="hybridMultilevel"/>
    <w:lvl w:ilvl="0">
      <w:lvlJc w:val="left"/>
      <w:lvlText w:val="%1."/>
      <w:numFmt w:val="decimal"/>
      <w:start w:val="1"/>
    </w:lvl>
  </w:abstractNum>
  <w:abstractNum w:abstractNumId="94">
    <w:nsid w:val="57D2F10E"/>
    <w:multiLevelType w:val="hybridMultilevel"/>
    <w:lvl w:ilvl="0">
      <w:lvlJc w:val="left"/>
      <w:lvlText w:val="%1."/>
      <w:numFmt w:val="decimal"/>
      <w:start w:val="6"/>
    </w:lvl>
  </w:abstractNum>
  <w:abstractNum w:abstractNumId="95">
    <w:nsid w:val="BFFAE18"/>
    <w:multiLevelType w:val="hybridMultilevel"/>
    <w:lvl w:ilvl="0">
      <w:lvlJc w:val="left"/>
      <w:lvlText w:val="%1."/>
      <w:numFmt w:val="decimal"/>
      <w:start w:val="7"/>
    </w:lvl>
  </w:abstractNum>
  <w:abstractNum w:abstractNumId="96">
    <w:nsid w:val="E3E47A8"/>
    <w:multiLevelType w:val="hybridMultilevel"/>
    <w:lvl w:ilvl="0">
      <w:lvlJc w:val="left"/>
      <w:lvlText w:val="%1."/>
      <w:numFmt w:val="decimal"/>
      <w:start w:val="10"/>
    </w:lvl>
  </w:abstractNum>
  <w:abstractNum w:abstractNumId="97">
    <w:nsid w:val="2E48F044"/>
    <w:multiLevelType w:val="hybridMultilevel"/>
    <w:lvl w:ilvl="0">
      <w:lvlJc w:val="left"/>
      <w:lvlText w:val="%1."/>
      <w:numFmt w:val="decimal"/>
      <w:start w:val="14"/>
    </w:lvl>
  </w:abstractNum>
  <w:abstractNum w:abstractNumId="98">
    <w:nsid w:val="49D0FEAC"/>
    <w:multiLevelType w:val="hybridMultilevel"/>
    <w:lvl w:ilvl="0">
      <w:lvlJc w:val="left"/>
      <w:lvlText w:val="%1."/>
      <w:numFmt w:val="decimal"/>
      <w:start w:val="21"/>
    </w:lvl>
  </w:abstractNum>
  <w:abstractNum w:abstractNumId="99">
    <w:nsid w:val="4BEE5A5B"/>
    <w:multiLevelType w:val="hybridMultilevel"/>
    <w:lvl w:ilvl="0">
      <w:lvlJc w:val="left"/>
      <w:lvlText w:val="*"/>
      <w:numFmt w:val="bullet"/>
      <w:start w:val="1"/>
    </w:lvl>
  </w:abstractNum>
  <w:abstractNum w:abstractNumId="100">
    <w:nsid w:val="5551B9F3"/>
    <w:multiLevelType w:val="hybridMultilevel"/>
    <w:lvl w:ilvl="0">
      <w:lvlJc w:val="left"/>
      <w:lvlText w:val="%1."/>
      <w:numFmt w:val="decimal"/>
      <w:start w:val="1"/>
    </w:lvl>
  </w:abstractNum>
  <w:abstractNum w:abstractNumId="101">
    <w:nsid w:val="24F6AB8E"/>
    <w:multiLevelType w:val="hybridMultilevel"/>
    <w:lvl w:ilvl="0">
      <w:lvlJc w:val="left"/>
      <w:lvlText w:val="%1"/>
      <w:numFmt w:val="decimal"/>
      <w:start w:val="1"/>
    </w:lvl>
    <w:lvl w:ilvl="1">
      <w:lvlJc w:val="left"/>
      <w:lvlText w:val="(%2)"/>
      <w:numFmt w:val="lowerLetter"/>
      <w:start w:val="1"/>
    </w:lvl>
  </w:abstractNum>
  <w:abstractNum w:abstractNumId="102">
    <w:nsid w:val="634C574C"/>
    <w:multiLevelType w:val="hybridMultilevel"/>
    <w:lvl w:ilvl="0">
      <w:lvlJc w:val="left"/>
      <w:lvlText w:val="%1."/>
      <w:numFmt w:val="decimal"/>
      <w:start w:val="2"/>
    </w:lvl>
    <w:lvl w:ilvl="1">
      <w:lvlJc w:val="left"/>
      <w:lvlText w:val="%2"/>
      <w:numFmt w:val="lowerLetter"/>
      <w:start w:val="1"/>
    </w:lvl>
  </w:abstractNum>
  <w:abstractNum w:abstractNumId="103">
    <w:nsid w:val="24E99DD7"/>
    <w:multiLevelType w:val="hybridMultilevel"/>
    <w:lvl w:ilvl="0">
      <w:lvlJc w:val="left"/>
      <w:lvlText w:val="%1"/>
      <w:numFmt w:val="decimal"/>
      <w:start w:val="1"/>
    </w:lvl>
    <w:lvl w:ilvl="1">
      <w:lvlJc w:val="left"/>
      <w:lvlText w:val="(%2)"/>
      <w:numFmt w:val="lowerLetter"/>
      <w:start w:val="1"/>
    </w:lvl>
  </w:abstractNum>
  <w:abstractNum w:abstractNumId="104">
    <w:nsid w:val="2A31B62D"/>
    <w:multiLevelType w:val="hybridMultilevel"/>
    <w:lvl w:ilvl="0">
      <w:lvlJc w:val="left"/>
      <w:lvlText w:val="%1."/>
      <w:numFmt w:val="decimal"/>
      <w:start w:val="4"/>
    </w:lvl>
    <w:lvl w:ilvl="1">
      <w:lvlJc w:val="left"/>
      <w:lvlText w:val="(%2)"/>
      <w:numFmt w:val="lowerLetter"/>
      <w:start w:val="1"/>
    </w:lvl>
  </w:abstractNum>
  <w:abstractNum w:abstractNumId="105">
    <w:nsid w:val="1849C29B"/>
    <w:multiLevelType w:val="hybridMultilevel"/>
    <w:lvl w:ilvl="0">
      <w:lvlJc w:val="left"/>
      <w:lvlText w:val="%1"/>
      <w:numFmt w:val="decimal"/>
      <w:start w:val="1"/>
    </w:lvl>
    <w:lvl w:ilvl="1">
      <w:lvlJc w:val="left"/>
      <w:lvlText w:val="(%2)"/>
      <w:numFmt w:val="lowerLetter"/>
      <w:start w:val="5"/>
    </w:lvl>
  </w:abstractNum>
  <w:abstractNum w:abstractNumId="106">
    <w:nsid w:val="7DFF9D09"/>
    <w:multiLevelType w:val="hybridMultilevel"/>
    <w:lvl w:ilvl="0">
      <w:lvlJc w:val="left"/>
      <w:lvlText w:val="%1."/>
      <w:numFmt w:val="decimal"/>
      <w:start w:val="8"/>
    </w:lvl>
    <w:lvl w:ilvl="1">
      <w:lvlJc w:val="left"/>
      <w:lvlText w:val="%2"/>
      <w:numFmt w:val="lowerLetter"/>
      <w:start w:val="1"/>
    </w:lvl>
  </w:abstractNum>
  <w:abstractNum w:abstractNumId="107">
    <w:nsid w:val="754342"/>
    <w:multiLevelType w:val="hybridMultilevel"/>
    <w:lvl w:ilvl="0">
      <w:lvlJc w:val="left"/>
      <w:lvlText w:val="%1."/>
      <w:numFmt w:val="decimal"/>
      <w:start w:val="14"/>
    </w:lvl>
    <w:lvl w:ilvl="1">
      <w:lvlJc w:val="left"/>
      <w:lvlText w:val="(%2)"/>
      <w:numFmt w:val="lowerLetter"/>
      <w:start w:val="1"/>
    </w:lvl>
  </w:abstractNum>
  <w:abstractNum w:abstractNumId="108">
    <w:nsid w:val="69E7F3E5"/>
    <w:multiLevelType w:val="hybridMultilevel"/>
    <w:lvl w:ilvl="0">
      <w:lvlJc w:val="left"/>
      <w:lvlText w:val="%1"/>
      <w:numFmt w:val="decimal"/>
      <w:start w:val="1"/>
    </w:lvl>
    <w:lvl w:ilvl="1">
      <w:lvlJc w:val="left"/>
      <w:lvlText w:val="(%2)"/>
      <w:numFmt w:val="lowerLetter"/>
      <w:start w:val="2"/>
    </w:lvl>
  </w:abstractNum>
  <w:abstractNum w:abstractNumId="109">
    <w:nsid w:val="2A6DE806"/>
    <w:multiLevelType w:val="hybridMultilevel"/>
    <w:lvl w:ilvl="0">
      <w:lvlJc w:val="left"/>
      <w:lvlText w:val="%1."/>
      <w:numFmt w:val="decimal"/>
      <w:start w:val="21"/>
    </w:lvl>
    <w:lvl w:ilvl="1">
      <w:lvlJc w:val="left"/>
      <w:lvlText w:val="(%2)"/>
      <w:numFmt w:val="lowerLetter"/>
      <w:start w:val="1"/>
    </w:lvl>
  </w:abstractNum>
  <w:abstractNum w:abstractNumId="110">
    <w:nsid w:val="1816F8C4"/>
    <w:multiLevelType w:val="hybridMultilevel"/>
    <w:lvl w:ilvl="0">
      <w:lvlJc w:val="left"/>
      <w:lvlText w:val="%1."/>
      <w:numFmt w:val="decimal"/>
      <w:start w:val="23"/>
    </w:lvl>
  </w:abstractNum>
  <w:abstractNum w:abstractNumId="111">
    <w:nsid w:val="37DF2233"/>
    <w:multiLevelType w:val="hybridMultilevel"/>
    <w:lvl w:ilvl="0">
      <w:lvlJc w:val="left"/>
      <w:lvlText w:val="%1."/>
      <w:numFmt w:val="upperLetter"/>
      <w:start w:val="1"/>
    </w:lvl>
  </w:abstractNum>
  <w:abstractNum w:abstractNumId="112">
    <w:nsid w:val="7AB49DAF"/>
    <w:multiLevelType w:val="hybridMultilevel"/>
    <w:lvl w:ilvl="0">
      <w:lvlJc w:val="left"/>
      <w:lvlText w:val="1"/>
      <w:numFmt w:val="bullet"/>
      <w:start w:val="1"/>
    </w:lvl>
  </w:abstractNum>
  <w:abstractNum w:abstractNumId="113">
    <w:nsid w:val="759F82CD"/>
    <w:multiLevelType w:val="hybridMultilevel"/>
    <w:lvl w:ilvl="0">
      <w:lvlJc w:val="left"/>
      <w:lvlText w:val="2"/>
      <w:numFmt w:val="bullet"/>
      <w:start w:val="1"/>
    </w:lvl>
  </w:abstractNum>
  <w:abstractNum w:abstractNumId="114">
    <w:nsid w:val="61E74EA3"/>
    <w:multiLevelType w:val="hybridMultilevel"/>
    <w:lvl w:ilvl="0">
      <w:lvlJc w:val="left"/>
      <w:lvlText w:val="3"/>
      <w:numFmt w:val="bullet"/>
      <w:start w:val="1"/>
    </w:lvl>
  </w:abstractNum>
  <w:abstractNum w:abstractNumId="115">
    <w:nsid w:val="597B4D84"/>
    <w:multiLevelType w:val="hybridMultilevel"/>
    <w:lvl w:ilvl="0">
      <w:lvlJc w:val="left"/>
      <w:lvlText w:val="4"/>
      <w:numFmt w:val="bullet"/>
      <w:start w:val="1"/>
    </w:lvl>
  </w:abstractNum>
  <w:abstractNum w:abstractNumId="116">
    <w:nsid w:val="F819E7F"/>
    <w:multiLevelType w:val="hybridMultilevel"/>
    <w:lvl w:ilvl="0">
      <w:lvlJc w:val="left"/>
      <w:lvlText w:val="5"/>
      <w:numFmt w:val="bullet"/>
      <w:start w:val="1"/>
    </w:lvl>
  </w:abstractNum>
  <w:abstractNum w:abstractNumId="117">
    <w:nsid w:val="57C7D42D"/>
    <w:multiLevelType w:val="hybridMultilevel"/>
    <w:lvl w:ilvl="0">
      <w:lvlJc w:val="left"/>
      <w:lvlText w:val="6"/>
      <w:numFmt w:val="bullet"/>
      <w:start w:val="1"/>
    </w:lvl>
  </w:abstractNum>
  <w:abstractNum w:abstractNumId="118">
    <w:nsid w:val="312167AD"/>
    <w:multiLevelType w:val="hybridMultilevel"/>
    <w:lvl w:ilvl="0">
      <w:lvlJc w:val="left"/>
      <w:lvlText w:val="7"/>
      <w:numFmt w:val="bullet"/>
      <w:start w:val="1"/>
    </w:lvl>
  </w:abstractNum>
  <w:abstractNum w:abstractNumId="119">
    <w:nsid w:val="631B64D4"/>
    <w:multiLevelType w:val="hybridMultilevel"/>
    <w:lvl w:ilvl="0">
      <w:lvlJc w:val="left"/>
      <w:lvlText w:val="8"/>
      <w:numFmt w:val="bullet"/>
      <w:start w:val="1"/>
    </w:lvl>
  </w:abstractNum>
  <w:abstractNum w:abstractNumId="120">
    <w:nsid w:val="78B5E776"/>
    <w:multiLevelType w:val="hybridMultilevel"/>
    <w:lvl w:ilvl="0">
      <w:lvlJc w:val="left"/>
      <w:lvlText w:val="9"/>
      <w:numFmt w:val="bullet"/>
      <w:start w:val="1"/>
    </w:lvl>
  </w:abstractNum>
  <w:abstractNum w:abstractNumId="121">
    <w:nsid w:val="75486E47"/>
    <w:multiLevelType w:val="hybridMultilevel"/>
    <w:lvl w:ilvl="0">
      <w:lvlJc w:val="left"/>
      <w:lvlText w:val="%1"/>
      <w:numFmt w:val="decimal"/>
      <w:start w:val="10"/>
    </w:lvl>
  </w:abstractNum>
  <w:abstractNum w:abstractNumId="122">
    <w:nsid w:val="6E534CDE"/>
    <w:multiLevelType w:val="hybridMultilevel"/>
    <w:lvl w:ilvl="0">
      <w:lvlJc w:val="left"/>
      <w:lvlText w:val="%1"/>
      <w:numFmt w:val="decimal"/>
      <w:start w:val="11"/>
    </w:lvl>
    <w:lvl w:ilvl="1">
      <w:lvlJc w:val="left"/>
      <w:lvlText w:val="(%2)"/>
      <w:numFmt w:val="lowerLetter"/>
      <w:start w:val="1"/>
    </w:lvl>
  </w:abstractNum>
  <w:abstractNum w:abstractNumId="123">
    <w:nsid w:val="1A0DDE32"/>
    <w:multiLevelType w:val="hybridMultilevel"/>
    <w:lvl w:ilvl="0">
      <w:lvlJc w:val="left"/>
      <w:lvlText w:val="(%1)"/>
      <w:numFmt w:val="lowerLetter"/>
      <w:start w:val="4"/>
    </w:lvl>
  </w:abstractNum>
  <w:abstractNum w:abstractNumId="124">
    <w:nsid w:val="65968C1C"/>
    <w:multiLevelType w:val="hybridMultilevel"/>
    <w:lvl w:ilvl="0">
      <w:lvlJc w:val="left"/>
      <w:lvlText w:val="%1"/>
      <w:numFmt w:val="decimal"/>
      <w:start w:val="17"/>
    </w:lvl>
  </w:abstractNum>
  <w:abstractNum w:abstractNumId="125">
    <w:nsid w:val="46263DEC"/>
    <w:multiLevelType w:val="hybridMultilevel"/>
    <w:lvl w:ilvl="0">
      <w:lvlJc w:val="left"/>
      <w:lvlText w:val="%1"/>
      <w:numFmt w:val="decimal"/>
      <w:start w:val="20"/>
    </w:lvl>
  </w:abstractNum>
  <w:abstractNum w:abstractNumId="126">
    <w:nsid w:val="260D8C4A"/>
    <w:multiLevelType w:val="hybridMultilevel"/>
    <w:lvl w:ilvl="0">
      <w:lvlJc w:val="left"/>
      <w:lvlText w:val="%1."/>
      <w:numFmt w:val="decimal"/>
      <w:start w:val="1"/>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decimal"/>
      <w:start w:val="1"/>
    </w:lvl>
  </w:abstractNum>
  <w:abstractNum w:abstractNumId="129">
    <w:nsid w:val="6FDE8AF6"/>
    <w:multiLevelType w:val="hybridMultilevel"/>
    <w:lvl w:ilvl="0">
      <w:lvlJc w:val="left"/>
      <w:lvlText w:val="%1."/>
      <w:numFmt w:val="decimal"/>
      <w:start w:val="2"/>
    </w:lvl>
  </w:abstractNum>
  <w:abstractNum w:abstractNumId="130">
    <w:nsid w:val="3FC32E20"/>
    <w:multiLevelType w:val="hybridMultilevel"/>
    <w:lvl w:ilvl="0">
      <w:lvlJc w:val="left"/>
      <w:lvlText w:val="%1."/>
      <w:numFmt w:val="decimal"/>
      <w:start w:val="3"/>
    </w:lvl>
  </w:abstractNum>
  <w:abstractNum w:abstractNumId="131">
    <w:nsid w:val="49C0E823"/>
    <w:multiLevelType w:val="hybridMultilevel"/>
    <w:lvl w:ilvl="0">
      <w:lvlJc w:val="left"/>
      <w:lvlText w:val="%1."/>
      <w:numFmt w:val="decimal"/>
      <w:start w:val="4"/>
    </w:lvl>
  </w:abstractNum>
  <w:abstractNum w:abstractNumId="132">
    <w:nsid w:val="14D53685"/>
    <w:multiLevelType w:val="hybridMultilevel"/>
    <w:lvl w:ilvl="0">
      <w:lvlJc w:val="left"/>
      <w:lvlText w:val="*"/>
      <w:numFmt w:val="bullet"/>
      <w:start w:val="1"/>
    </w:lvl>
  </w:abstractNum>
  <w:abstractNum w:abstractNumId="133">
    <w:nsid w:val="230F856C"/>
    <w:multiLevelType w:val="hybridMultilevel"/>
    <w:lvl w:ilvl="0">
      <w:lvlJc w:val="left"/>
      <w:lvlText w:val="●"/>
      <w:numFmt w:val="bullet"/>
      <w:start w:val="1"/>
    </w:lvl>
  </w:abstractNum>
  <w:abstractNum w:abstractNumId="134">
    <w:nsid w:val="6EAA85FB"/>
    <w:multiLevelType w:val="hybridMultilevel"/>
    <w:lvl w:ilvl="0">
      <w:lvlJc w:val="left"/>
      <w:lvlText w:val="%1."/>
      <w:numFmt w:val="upperLetter"/>
      <w:start w:val="2"/>
    </w:lvl>
  </w:abstractNum>
  <w:abstractNum w:abstractNumId="135">
    <w:nsid w:val="3F06ECB2"/>
    <w:multiLevelType w:val="hybridMultilevel"/>
    <w:lvl w:ilvl="0">
      <w:lvlJc w:val="left"/>
      <w:lvlText w:val="%1."/>
      <w:numFmt w:val="decimal"/>
      <w:start w:val="1"/>
    </w:lvl>
  </w:abstractNum>
  <w:abstractNum w:abstractNumId="136">
    <w:nsid w:val="3B594807"/>
    <w:multiLevelType w:val="hybridMultilevel"/>
    <w:lvl w:ilvl="0">
      <w:lvlJc w:val="left"/>
      <w:lvlText w:val="%1."/>
      <w:numFmt w:val="decimal"/>
      <w:start w:val="2"/>
    </w:lvl>
  </w:abstractNum>
  <w:abstractNum w:abstractNumId="137">
    <w:nsid w:val="6CAA2304"/>
    <w:multiLevelType w:val="hybridMultilevel"/>
    <w:lvl w:ilvl="0">
      <w:lvlJc w:val="left"/>
      <w:lvlText w:val="%1."/>
      <w:numFmt w:val="decimal"/>
      <w:start w:val="3"/>
    </w:lvl>
  </w:abstractNum>
  <w:abstractNum w:abstractNumId="138">
    <w:nsid w:val="3F7C2FF4"/>
    <w:multiLevelType w:val="hybridMultilevel"/>
    <w:lvl w:ilvl="0">
      <w:lvlJc w:val="left"/>
      <w:lvlText w:val="%1."/>
      <w:numFmt w:val="decimal"/>
      <w:start w:val="4"/>
    </w:lvl>
  </w:abstractNum>
  <w:abstractNum w:abstractNumId="139">
    <w:nsid w:val="25413BEC"/>
    <w:multiLevelType w:val="hybridMultilevel"/>
    <w:lvl w:ilvl="0">
      <w:lvlJc w:val="left"/>
      <w:lvlText w:val="%1."/>
      <w:numFmt w:val="decimal"/>
      <w:start w:val="5"/>
    </w:lvl>
  </w:abstractNum>
  <w:abstractNum w:abstractNumId="140">
    <w:nsid w:val="17180B0B"/>
    <w:multiLevelType w:val="hybridMultilevel"/>
    <w:lvl w:ilvl="0">
      <w:lvlJc w:val="left"/>
      <w:lvlText w:val="%1."/>
      <w:numFmt w:val="upperLetter"/>
      <w:start w:val="3"/>
    </w:lvl>
  </w:abstractNum>
  <w:abstractNum w:abstractNumId="141">
    <w:nsid w:val="579328B9"/>
    <w:multiLevelType w:val="hybridMultilevel"/>
    <w:lvl w:ilvl="0">
      <w:lvlJc w:val="left"/>
      <w:lvlText w:val="%1."/>
      <w:numFmt w:val="decimal"/>
      <w:start w:val="1"/>
    </w:lvl>
  </w:abstractNum>
  <w:abstractNum w:abstractNumId="142">
    <w:nsid w:val="5D205E20"/>
    <w:multiLevelType w:val="hybridMultilevel"/>
    <w:lvl w:ilvl="0">
      <w:lvlJc w:val="left"/>
      <w:lvlText w:val="●"/>
      <w:numFmt w:val="bullet"/>
      <w:start w:val="1"/>
    </w:lvl>
  </w:abstractNum>
  <w:abstractNum w:abstractNumId="143">
    <w:nsid w:val="11CCA8BA"/>
    <w:multiLevelType w:val="hybridMultilevel"/>
    <w:lvl w:ilvl="0">
      <w:lvlJc w:val="left"/>
      <w:lvlText w:val="●"/>
      <w:numFmt w:val="bullet"/>
      <w:start w:val="1"/>
    </w:lvl>
  </w:abstractNum>
  <w:abstractNum w:abstractNumId="144">
    <w:nsid w:val="4D32AB86"/>
    <w:multiLevelType w:val="hybridMultilevel"/>
    <w:lvl w:ilvl="0">
      <w:lvlJc w:val="left"/>
      <w:lvlText w:val="%1."/>
      <w:numFmt w:val="decimal"/>
      <w:start w:val="2"/>
    </w:lvl>
  </w:abstractNum>
  <w:abstractNum w:abstractNumId="145">
    <w:nsid w:val="3F07ACC3"/>
    <w:multiLevelType w:val="hybridMultilevel"/>
    <w:lvl w:ilvl="0">
      <w:lvlJc w:val="left"/>
      <w:lvlText w:val="%1."/>
      <w:numFmt w:val="upperLetter"/>
      <w:start w:val="4"/>
    </w:lvl>
  </w:abstractNum>
  <w:abstractNum w:abstractNumId="146">
    <w:nsid w:val="6B47F63E"/>
    <w:multiLevelType w:val="hybridMultilevel"/>
    <w:lvl w:ilvl="0">
      <w:lvlJc w:val="left"/>
      <w:lvlText w:val="●"/>
      <w:numFmt w:val="bullet"/>
      <w:start w:val="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1."/>
      <w:numFmt w:val="upperLetter"/>
      <w:start w:val="5"/>
    </w:lvl>
  </w:abstractNum>
  <w:abstractNum w:abstractNumId="149">
    <w:nsid w:val="1C695DEC"/>
    <w:multiLevelType w:val="hybridMultilevel"/>
    <w:lvl w:ilvl="0">
      <w:lvlJc w:val="left"/>
      <w:lvlText w:val="%1."/>
      <w:numFmt w:val="upperLetter"/>
      <w:start w:val="1"/>
    </w:lvl>
  </w:abstractNum>
  <w:abstractNum w:abstractNumId="150">
    <w:nsid w:val="3FCFAED9"/>
    <w:multiLevelType w:val="hybridMultilevel"/>
    <w:lvl w:ilvl="0">
      <w:lvlJc w:val="left"/>
      <w:lvlText w:val="%1."/>
      <w:numFmt w:val="decimal"/>
      <w:start w:val="1"/>
    </w:lvl>
  </w:abstractNum>
  <w:abstractNum w:abstractNumId="151">
    <w:nsid w:val="F856867"/>
    <w:multiLevelType w:val="hybridMultilevel"/>
    <w:lvl w:ilvl="0">
      <w:lvlJc w:val="left"/>
      <w:lvlText w:val="%1."/>
      <w:numFmt w:val="decimal"/>
      <w:start w:val="2"/>
    </w:lvl>
  </w:abstractNum>
  <w:abstractNum w:abstractNumId="152">
    <w:nsid w:val="11B1CC33"/>
    <w:multiLevelType w:val="hybridMultilevel"/>
    <w:lvl w:ilvl="0">
      <w:lvlJc w:val="left"/>
      <w:lvlText w:val="%1."/>
      <w:numFmt w:val="decimal"/>
      <w:start w:val="3"/>
    </w:lvl>
  </w:abstractNum>
  <w:abstractNum w:abstractNumId="153">
    <w:nsid w:val="2E22FBB7"/>
    <w:multiLevelType w:val="hybridMultilevel"/>
    <w:lvl w:ilvl="0">
      <w:lvlJc w:val="left"/>
      <w:lvlText w:val="●"/>
      <w:numFmt w:val="bullet"/>
      <w:start w:val="1"/>
    </w:lvl>
  </w:abstractNum>
  <w:abstractNum w:abstractNumId="154">
    <w:nsid w:val="29934699"/>
    <w:multiLevelType w:val="hybridMultilevel"/>
    <w:lvl w:ilvl="0">
      <w:lvlJc w:val="left"/>
      <w:lvlText w:val="%1."/>
      <w:numFmt w:val="decimal"/>
      <w:start w:val="4"/>
    </w:lvl>
  </w:abstractNum>
  <w:abstractNum w:abstractNumId="155">
    <w:nsid w:val="77485850"/>
    <w:multiLevelType w:val="hybridMultilevel"/>
    <w:lvl w:ilvl="0">
      <w:lvlJc w:val="left"/>
      <w:lvlText w:val="%1."/>
      <w:numFmt w:val="decimal"/>
      <w:start w:val="5"/>
    </w:lvl>
  </w:abstractNum>
  <w:abstractNum w:abstractNumId="156">
    <w:nsid w:val="744939A3"/>
    <w:multiLevelType w:val="hybridMultilevel"/>
    <w:lvl w:ilvl="0">
      <w:lvlJc w:val="left"/>
      <w:lvlText w:val="%1."/>
      <w:numFmt w:val="decimal"/>
      <w:start w:val="6"/>
    </w:lvl>
  </w:abstractNum>
  <w:abstractNum w:abstractNumId="157">
    <w:nsid w:val="4FA0D2E3"/>
    <w:multiLevelType w:val="hybridMultilevel"/>
    <w:lvl w:ilvl="0">
      <w:lvlJc w:val="left"/>
      <w:lvlText w:val="%1."/>
      <w:numFmt w:val="upperLetter"/>
      <w:start w:val="2"/>
    </w:lvl>
  </w:abstractNum>
  <w:abstractNum w:abstractNumId="158">
    <w:nsid w:val="6B1D2C14"/>
    <w:multiLevelType w:val="hybridMultilevel"/>
    <w:lvl w:ilvl="0">
      <w:lvlJc w:val="left"/>
      <w:lvlText w:val="%1."/>
      <w:numFmt w:val="decimal"/>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1."/>
      <w:numFmt w:val="decimal"/>
      <w:start w:val="2"/>
    </w:lvl>
  </w:abstractNum>
  <w:abstractNum w:abstractNumId="161">
    <w:nsid w:val="2AE05A34"/>
    <w:multiLevelType w:val="hybridMultilevel"/>
    <w:lvl w:ilvl="0">
      <w:lvlJc w:val="left"/>
      <w:lvlText w:val="%1."/>
      <w:numFmt w:val="decimal"/>
      <w:start w:val="3"/>
    </w:lvl>
  </w:abstractNum>
  <w:abstractNum w:abstractNumId="162">
    <w:nsid w:val="32794FF7"/>
    <w:multiLevelType w:val="hybridMultilevel"/>
    <w:lvl w:ilvl="0">
      <w:lvlJc w:val="left"/>
      <w:lvlText w:val="%1."/>
      <w:numFmt w:val="decimal"/>
      <w:start w:val="4"/>
    </w:lvl>
  </w:abstractNum>
  <w:abstractNum w:abstractNumId="163">
    <w:nsid w:val="5454945E"/>
    <w:multiLevelType w:val="hybridMultilevel"/>
    <w:lvl w:ilvl="0">
      <w:lvlJc w:val="left"/>
      <w:lvlText w:val="%1."/>
      <w:numFmt w:val="decimal"/>
      <w:start w:val="5"/>
    </w:lvl>
  </w:abstractNum>
  <w:abstractNum w:abstractNumId="164">
    <w:nsid w:val="4DEFDFA0"/>
    <w:multiLevelType w:val="hybridMultilevel"/>
    <w:lvl w:ilvl="0">
      <w:lvlJc w:val="left"/>
      <w:lvlText w:val="%1."/>
      <w:numFmt w:val="decimal"/>
      <w:start w:val="6"/>
    </w:lvl>
  </w:abstractNum>
  <w:abstractNum w:abstractNumId="165">
    <w:nsid w:val="2123D5F2"/>
    <w:multiLevelType w:val="hybridMultilevel"/>
    <w:lvl w:ilvl="0">
      <w:lvlJc w:val="left"/>
      <w:lvlText w:val="%1."/>
      <w:numFmt w:val="upperLetter"/>
      <w:start w:val="3"/>
    </w:lvl>
    <w:lvl w:ilvl="1">
      <w:lvlJc w:val="left"/>
      <w:lvlText w:val="%2."/>
      <w:numFmt w:val="decimal"/>
      <w:start w:val="1"/>
    </w:lvl>
  </w:abstractNum>
  <w:abstractNum w:abstractNumId="166">
    <w:nsid w:val="135B8110"/>
    <w:multiLevelType w:val="hybridMultilevel"/>
    <w:lvl w:ilvl="0">
      <w:lvlJc w:val="left"/>
      <w:lvlText w:val="●"/>
      <w:numFmt w:val="bullet"/>
      <w:start w:val="1"/>
    </w:lvl>
  </w:abstractNum>
  <w:abstractNum w:abstractNumId="167">
    <w:nsid w:val="94927A8"/>
    <w:multiLevelType w:val="hybridMultilevel"/>
    <w:lvl w:ilvl="0">
      <w:lvlJc w:val="left"/>
      <w:lvlText w:val="%1."/>
      <w:numFmt w:val="decimal"/>
      <w:start w:val="2"/>
    </w:lvl>
  </w:abstractNum>
  <w:abstractNum w:abstractNumId="168">
    <w:nsid w:val="DCDF8F6"/>
    <w:multiLevelType w:val="hybridMultilevel"/>
    <w:lvl w:ilvl="0">
      <w:lvlJc w:val="left"/>
      <w:lvlText w:val="%1."/>
      <w:numFmt w:val="upperLetter"/>
      <w:start w:val="4"/>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
      <w:numFmt w:val="bullet"/>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jpe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jpe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122" Type="http://schemas.openxmlformats.org/officeDocument/2006/relationships/hyperlink" Target="https://www.sec.gov/ix?doc=/Archives/edgar/data/0002019804/000121390025090697/ea0243629-11.htm" TargetMode="External"/><Relationship Id="rId123" Type="http://schemas.openxmlformats.org/officeDocument/2006/relationships/hyperlink" Target="https://www.sec.gov/Archives/edgar/data/2019804/000121390025105304/ea026338601ex2-2_terres.htm" TargetMode="External"/><Relationship Id="rId124" Type="http://schemas.openxmlformats.org/officeDocument/2006/relationships/hyperlink" Target="https://www.sec.gov/Archives/edgar/data/2019804/000121390025105304/ea026338601ex2-3_terres.htm" TargetMode="External"/><Relationship Id="rId125" Type="http://schemas.openxmlformats.org/officeDocument/2006/relationships/hyperlink" Target="https://www.sec.gov/Archives/edgar/data/2019804/000121390025105304/ea026338601ex2-4_terres.htm" TargetMode="External"/><Relationship Id="rId126" Type="http://schemas.openxmlformats.org/officeDocument/2006/relationships/hyperlink" Target="https://www.sec.gov/Archives/edgar/data/2019804/000121390025084249/ea024362906ex4-5_hcm2.htm" TargetMode="External"/><Relationship Id="rId127" Type="http://schemas.openxmlformats.org/officeDocument/2006/relationships/hyperlink" Target="https://www.sec.gov/Archives/edgar/data/2019804/000121390025105304/ea026338601ex10-1_terres.htm" TargetMode="External"/><Relationship Id="rId128" Type="http://schemas.openxmlformats.org/officeDocument/2006/relationships/hyperlink" Target="https://www.sec.gov/Archives/edgar/data/2019804/000121390025105304/ea026338601ex10-2_terres.htm" TargetMode="External"/><Relationship Id="rId136" Type="http://schemas.openxmlformats.org/officeDocument/2006/relationships/hyperlink" Target="https://www.sec.gov/Archives/edgar/data/2019804/000121390025105304/ea026338601ex10-3_terres.htm" TargetMode="External"/><Relationship Id="rId137" Type="http://schemas.openxmlformats.org/officeDocument/2006/relationships/hyperlink" Target="https://www.sec.gov/ix?doc=/Archives/edgar/data/0002019804/000121390025090697/ea0243629-11.htm#T2029" TargetMode="External"/><Relationship Id="rId138" Type="http://schemas.openxmlformats.org/officeDocument/2006/relationships/hyperlink" Target="https://www.sec.gov/Archives/edgar/data/2019804/000121390025105304/ea026338601ex10-5_terres.htm" TargetMode="External"/><Relationship Id="rId139" Type="http://schemas.openxmlformats.org/officeDocument/2006/relationships/hyperlink" Target="https://www.sec.gov/ix?doc=/Archives/edgar/data/0002019804/000121390025090697/ea0243629-11.htm#T2035" TargetMode="External"/><Relationship Id="rId140" Type="http://schemas.openxmlformats.org/officeDocument/2006/relationships/hyperlink" Target="https://www.sec.gov/Archives/edgar/data/2019804/000121390025105304/ea026338601ex10-7_terres.htm" TargetMode="External"/><Relationship Id="rId141" Type="http://schemas.openxmlformats.org/officeDocument/2006/relationships/hyperlink" Target="https://www.sec.gov/ix?doc=/Archives/edgar/data/0002019804/000121390025090697/ea0243629-11.htm#T2037" TargetMode="External"/><Relationship Id="rId142" Type="http://schemas.openxmlformats.org/officeDocument/2006/relationships/hyperlink" Target="https://www.sec.gov/Archives/edgar/data/2019804/000121390025105304/ea026338601ex10-9_terres.htm" TargetMode="External"/><Relationship Id="rId143" Type="http://schemas.openxmlformats.org/officeDocument/2006/relationships/hyperlink" Target="https://www.sec.gov/Archives/edgar/data/2019804/000110465926000287/tm2534292d1_ex10-2.htm" TargetMode="External"/><Relationship Id="rId144" Type="http://schemas.openxmlformats.org/officeDocument/2006/relationships/hyperlink" Target="https://www.sec.gov/Archives/edgar/data/2019804/000121390025105304/ea026338601ex10-10_terres.htm" TargetMode="External"/><Relationship Id="rId145" Type="http://schemas.openxmlformats.org/officeDocument/2006/relationships/hyperlink" Target="https://www.sec.gov/Archives/edgar/data/2019804/000121390025105304/ea026338601ex10-11_terres.htm" TargetMode="External"/><Relationship Id="rId146" Type="http://schemas.openxmlformats.org/officeDocument/2006/relationships/hyperlink" Target="https://www.sec.gov/Archives/edgar/data/2019804/000121390025105304/ea026338601ex21-1_terres.htm" TargetMode="External"/><Relationship Id="rId147" Type="http://schemas.openxmlformats.org/officeDocument/2006/relationships/hyperlink" Target="https://www.sec.gov/Archives/edgar/data/2019804/000121390025026419/ea023555201ex97-1_hcm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2026-03-30T17:12:18Z</dcterms:created>
  <dcterms:modified xsi:type="dcterms:W3CDTF">2026-03-30T17:12:18Z</dcterms:modified>
</cp:coreProperties>
</file>